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Segoe UI" w:hAnsi="Segoe UI"/>
          <w:b/>
          <w:color w:val="1565C0"/>
          <w:sz w:val="34"/>
        </w:rPr>
        <w:t>BÁO CÁO KẾT QUẢ ĐẶC TẢ VÀ THỰC NGHIỆM MÔ HÌNH (MỤC 5.1)</w:t>
        <w:br/>
      </w:r>
      <w:r>
        <w:rPr>
          <w:rFonts w:ascii="Segoe UI" w:hAnsi="Segoe UI"/>
          <w:b/>
          <w:color w:val="263238"/>
          <w:sz w:val="25"/>
        </w:rPr>
        <w:t>HỆ THỐNG DỰ BÁO NGẮN HẠN VÀ ĐẶT TRƯỚC CÔNG SUẤT VẬN TẢI LẠNH 3 LỚP</w:t>
        <w:br/>
      </w:r>
    </w:p>
    <w:p>
      <w:pPr>
        <w:spacing w:after="320"/>
        <w:jc w:val="center"/>
      </w:pPr>
      <w:r>
        <w:rPr>
          <w:rFonts w:ascii="Segoe UI" w:hAnsi="Segoe UI"/>
          <w:i/>
          <w:color w:val="757575"/>
          <w:sz w:val="20"/>
        </w:rPr>
        <w:t>Đề án: FrostLink – Nền tảng điều phối chuỗi lạnh nông sản mùa vụ (Lục Ngạn)</w:t>
        <w:br/>
        <w:t>Cuộc thi: Vietnam Young Logistics Talents (VYLT) 2026</w:t>
      </w:r>
      <w:r>
        <w:br/>
        <w:t>Tác giả: Đặng Cường - Thành viên k chính thức</w:t>
      </w:r>
    </w:p>
    <w:tbl>
      <w:tblPr>
        <w:tblW w:type="auto" w:w="0"/>
        <w:jc w:val="center"/>
        <w:tblLook w:firstColumn="1" w:firstRow="1" w:lastColumn="0" w:lastRow="0" w:noHBand="0" w:noVBand="1" w:val="04A0"/>
      </w:tblPr>
      <w:tblGrid>
        <w:gridCol w:w="9648"/>
      </w:tblGrid>
      <w:tr>
        <w:tc>
          <w:tcPr>
            <w:tcW w:type="dxa" w:w="9648"/>
            <w:shd w:fill="E3F2FD"/>
            <w:tcMar>
              <w:top w:w="140" w:type="dxa"/>
              <w:bottom w:w="140" w:type="dxa"/>
              <w:left w:w="200" w:type="dxa"/>
              <w:right w:w="200" w:type="dxa"/>
            </w:tcMar>
          </w:tcPr>
          <w:p>
            <w:pPr>
              <w:spacing w:after="40"/>
            </w:pPr>
            <w:r>
              <w:rPr>
                <w:rFonts w:ascii="Segoe UI" w:hAnsi="Segoe UI"/>
                <w:b/>
                <w:color w:val="1565C0"/>
                <w:sz w:val="21"/>
              </w:rPr>
              <w:t xml:space="preserve">TÓM TẮT ĐIỀU HÀNH (EXECUTIVE SUMMARY): </w:t>
            </w:r>
            <w:r>
              <w:rPr>
                <w:rFonts w:ascii="Segoe UI" w:hAnsi="Segoe UI"/>
                <w:color w:val="212121"/>
                <w:sz w:val="20"/>
              </w:rPr>
              <w:t>Báo cáo này giải trình toàn diện phương pháp luận định lượng, bằng chứng khảo sát thực tế (nhà xe Treviet, container 40ft), công thức toán học chuẩn Native Word OMML, kết quả đối chuẩn giữa mô hình nền Baseline và FrostLink, cùng bộ 4 biểu đồ 300 DPI.</w:t>
            </w:r>
          </w:p>
        </w:tc>
      </w:tr>
    </w:tbl>
    <w:p>
      <w:pPr>
        <w:spacing w:after="80"/>
      </w:pPr>
    </w:p>
    <w:p>
      <w:pPr>
        <w:keepNext/>
        <w:spacing w:before="320" w:after="120"/>
      </w:pPr>
      <w:r>
        <w:rPr>
          <w:rFonts w:ascii="Segoe UI" w:hAnsi="Segoe UI"/>
          <w:b/>
          <w:color w:val="1565C0"/>
          <w:sz w:val="29"/>
        </w:rPr>
        <w:t>1. BẰNG CHỨNG THỰC ĐỊA &amp; NGUỒN GỐC SỐ LIỆU PHỎNG VẤN</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cửa khẩu xuất khẩu (150 km).</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Phương tiện &amp; Tải trọng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Container lạnh 40 feet (Cont 40ft - 40RF). Đóng thực tế khoảng 18 tấn vải do thùng xốp chèn đá.</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Định mức tải trọng hữu dụng: C_eff = 17.2 Tấn/cont (trừ 4.5% dung tích tuần hoàn khí lạnh).</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Ngày thường 9.000.000 VNĐ/chuyến; ngày cao điểm cháy xe giá bị đẩy tăng 30%.</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Giá thường: 9.000.000 VNĐ; Giá cao điểm (Temp &gt;= 34°C hoặc cuối tuần): 11.700.000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Đặt trước phải cọc từ 20% - 40% giá cước. Nếu xe đến bãi mà không có hàng thì phạt tiền chạy rỗng.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Cọc hủy trước 24h (Lớp 2): 20% (1.8 triệu); Phạt xe rỗng tại bãi (C_over): 30% cước (2.7 triệu).</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Khoảng 50% thời gian cao điểm gặp khó khăn trong tìm xe do phụ thuộc kích thước thùng.</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giải quyết triệt để tình trạng thiếu xe.</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vụ mùa:</w:t>
      </w:r>
    </w:p>
    <w:p>
      <w:pPr>
        <w:spacing w:before="80" w:after="160"/>
        <w:jc w:val="center"/>
      </w:pPr>
      <m:oMathPara>
        <m:oMath>
          <m:sSub>
            <m:e>
              <m:acc>
                <m:accPr>
                  <m:chr m:val="^"/>
                </m:accPr>
                <m:e>
                  <m:r>
                    <m:rPr>
                      <m:sty m:val="i"/>
                    </m:rPr>
                    <m:t>Y</m:t>
                  </m:r>
                </m:e>
              </m:acc>
            </m:e>
            <m:sub>
              <m:r>
                <m:rPr>
                  <m:sty m:val="i"/>
                </m:rPr>
                <m:t>t</m:t>
              </m:r>
            </m:sub>
          </m:sSub>
          <m:r>
            <m:t> = 258.76 - 6.64·</m:t>
          </m:r>
          <m:sSub>
            <m:e>
              <m:r>
                <m:t>Temp</m:t>
              </m:r>
            </m:e>
            <m:sub>
              <m:r>
                <m:rPr>
                  <m:sty m:val="i"/>
                </m:rPr>
                <m:t>t</m:t>
              </m:r>
            </m:sub>
          </m:sSub>
          <m:r>
            <m:t> + 0.08·</m:t>
          </m:r>
          <m:sSub>
            <m:e>
              <m:r>
                <m:t>Rain</m:t>
              </m:r>
            </m:e>
            <m:sub>
              <m:r>
                <m:rPr>
                  <m:sty m:val="i"/>
                </m:rPr>
                <m:t>t</m:t>
              </m:r>
            </m:sub>
          </m:sSub>
          <m:r>
            <m:t> - 45.15·</m:t>
          </m:r>
          <m:sSub>
            <m:e>
              <m:r>
                <m:t>Ripe</m:t>
              </m:r>
            </m:e>
            <m:sub>
              <m:r>
                <m:rPr>
                  <m:sty m:val="i"/>
                </m:rPr>
                <m:t>t</m:t>
              </m:r>
            </m:sub>
          </m:sSub>
          <m:r>
            <m:t> + 1.00·</m:t>
          </m:r>
          <m:sSub>
            <m:e>
              <m:r>
                <m:t>Order</m:t>
              </m:r>
            </m:e>
            <m:sub>
              <m:r>
                <m:rPr>
                  <m:sty m:val="i"/>
                </m:rPr>
                <m:t>t</m:t>
              </m:r>
            </m:sub>
          </m:sSub>
          <m:r>
            <m:t> + 8.72·</m:t>
          </m:r>
          <m:sSub>
            <m:e>
              <m:r>
                <m:t>PeakDay</m:t>
              </m:r>
            </m:e>
            <m:sub>
              <m:r>
                <m:rPr>
                  <m:sty m:val="i"/>
                </m:rPr>
                <m:t>t</m:t>
              </m:r>
            </m:sub>
          </m:sSub>
          <m:r>
            <m:t>   (</m:t>
          </m:r>
          <m:sSup>
            <m:e>
              <m:r>
                <m:rPr>
                  <m:sty m:val="i"/>
                </m:rPr>
                <m:t>R</m:t>
              </m:r>
            </m:e>
            <m:sup>
              <m:r>
                <m:t>2</m:t>
              </m:r>
            </m:sup>
          </m:sSup>
          <m:r>
            <m:t> = 0.616)</m:t>
          </m:r>
        </m:oMath>
      </m:oMathPara>
    </w:p>
    <w:p>
      <w:pPr>
        <w:keepNext/>
        <w:spacing w:before="240" w:after="80"/>
      </w:pPr>
      <w:r>
        <w:rPr>
          <w:rFonts w:ascii="Segoe UI" w:hAnsi="Segoe UI"/>
          <w:b/>
          <w:color w:val="0D47A1"/>
          <w:sz w:val="24"/>
        </w:rPr>
        <w:t>2.2. Công thức Quy đổi Tác nghiệp sang Số Cont 40ft (N_t)</w:t>
      </w:r>
    </w:p>
    <w:p>
      <w:pPr>
        <w:spacing w:after="100" w:line="276" w:lineRule="auto"/>
      </w:pPr>
      <w:r>
        <w:rPr>
          <w:rFonts w:ascii="Segoe UI" w:hAnsi="Segoe UI"/>
          <w:i w:val="0"/>
          <w:color w:val="212121"/>
          <w:sz w:val="21"/>
        </w:rPr>
        <w:t>Sản lượng thu hoạch dự báo được quy đổi thành số lượng phương tiện thực tế theo công thức hàm trần (Ceiling function):</w:t>
      </w:r>
    </w:p>
    <w:p>
      <w:pPr>
        <w:spacing w:before="80" w:after="160"/>
        <w:jc w:val="center"/>
      </w:pPr>
      <m:oMathPara>
        <m:oMath>
          <m:sSub>
            <m:e>
              <m:r>
                <m:rPr>
                  <m:sty m:val="i"/>
                </m:rPr>
                <m:t>N</m:t>
              </m:r>
            </m:e>
            <m:sub>
              <m:r>
                <m:t>trucks,t</m:t>
              </m:r>
            </m:sub>
          </m:sSub>
          <m:r>
            <m:t> = </m:t>
          </m:r>
          <m:d>
            <m:dPr>
              <m:begChr m:val="⌈"/>
              <m:endChr m:val="⌉"/>
            </m:dPr>
            <m:e>
              <m:f>
                <m:num>
                  <m:sSub>
                    <m:e>
                      <m:r>
                        <m:rPr>
                          <m:sty m:val="i"/>
                        </m:rPr>
                        <m:t>Y</m:t>
                      </m:r>
                    </m:e>
                    <m:sub>
                      <m:r>
                        <m:rPr>
                          <m:sty m:val="i"/>
                        </m:rPr>
                        <m:t>t</m:t>
                      </m:r>
                    </m:sub>
                  </m:sSub>
                  <m:r>
                    <m:t> × </m:t>
                  </m:r>
                  <m:sSub>
                    <m:e>
                      <m:r>
                        <m:t>α</m:t>
                      </m:r>
                    </m:e>
                    <m:sub>
                      <m:r>
                        <m:rPr>
                          <m:sty m:val="i"/>
                        </m:rPr>
                        <m:t>t</m:t>
                      </m:r>
                    </m:sub>
                  </m:sSub>
                </m:num>
                <m:den>
                  <m:sSub>
                    <m:e>
                      <m:r>
                        <m:rPr>
                          <m:sty m:val="i"/>
                        </m:rPr>
                        <m:t>C</m:t>
                      </m:r>
                    </m:e>
                    <m:sub>
                      <m:r>
                        <m:t>eff</m:t>
                      </m:r>
                    </m:sub>
                  </m:sSub>
                </m:den>
              </m:f>
            </m:e>
          </m:d>
        </m:oMath>
      </m:oMathPara>
    </w:p>
    <w:p>
      <w:pPr>
        <w:spacing w:after="100" w:line="276" w:lineRule="auto"/>
      </w:pPr>
      <w:r>
        <w:rPr>
          <w:rFonts w:ascii="Segoe UI" w:hAnsi="Segoe UI"/>
          <w:i w:val="0"/>
          <w:color w:val="212121"/>
          <w:sz w:val="21"/>
        </w:rPr>
        <w:t>Trong đó: α_t là tỷ lệ hàng tiêu chuẩn xuất khẩu bắt buộc đi chuỗi lạnh (α = 80% - 85%); C_eff = 17.2 Tấn/cont là tải trọng hữu dụng thực tế của Container 40 feet lạnh (chừa 4.5% dung tích tuần hoàn khí lạnh).</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từng ngày:</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Lớp 2 (Hủy trước 24h): 1.800.000 VNĐ / cont (Xe chưa lăn bánh đến bãi, nhà xe nhận trọn 20% cọc và nhận chuyến khác).</w:t>
        <w:br/>
        <w:t>• Chi phí thừa xe chạy rỗng (C_over): 2.700.000 VNĐ / cont (Xe đã đến bãi nhưng không có hàng, bồi thường 30% tiền dầu).</w:t>
        <w:br/>
        <w:t>• Chi phí thiếu xe (C_under): 6.000.000 VNĐ / cont (Gồm 2.7 triệu cước ép giờ cao điểm + 3.3 triệu do 1 tấn vải chờ xe mất 25% giá trị xuất khẩu).</w:t>
        <w:br/>
        <w:t>⇒ Nguyên lý kinh tế cốt lõi: Cọc hủy (1.8tr) &lt; Phạt xe rỗng (2.7tr) &lt; Thiếu xe (6.0tr). Cơ chế luôn tạo động lực tiết kiệm chi phí cho HTX.</w:t>
      </w:r>
    </w:p>
    <w:p>
      <w:pPr>
        <w:keepNext/>
        <w:spacing w:before="320" w:after="120"/>
      </w:pPr>
      <w:r>
        <w:rPr>
          <w:rFonts w:ascii="Segoe UI" w:hAnsi="Segoe UI"/>
          <w:b/>
          <w:color w:val="1565C0"/>
          <w:sz w:val="29"/>
        </w:rPr>
        <w:t>4. KẾT QUẢ ĐỐI CHUẨN ĐỊNH LƯỢNG (BENCHMARK RESULTS)</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0.83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0.26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0.57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25.09%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7.87%</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17.22%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68.7%</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14.23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4.46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9.77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68.7%</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24.300.000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5.400.000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18.2%</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97.700.000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27.900.000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69.800.000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71.4%</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w:t>
      </w:r>
    </w:p>
    <w:p>
      <w:pPr>
        <w:spacing w:before="80" w:after="80"/>
        <w:jc w:val="center"/>
      </w:pPr>
      <w:r>
        <w:drawing>
          <wp:inline xmlns:a="http://schemas.openxmlformats.org/drawingml/2006/main" xmlns:pic="http://schemas.openxmlformats.org/drawingml/2006/picture">
            <wp:extent cx="5943600" cy="2547257"/>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1: Tương quan giữa lượng mưa, nhiệt độ và sản lượng thu hoạch vải thiều (Lục Ngạn)</w:t>
      </w:r>
    </w:p>
    <w:p>
      <w:pPr>
        <w:spacing w:before="80" w:after="80"/>
        <w:jc w:val="center"/>
      </w:pPr>
      <w:r>
        <w:drawing>
          <wp:inline xmlns:a="http://schemas.openxmlformats.org/drawingml/2006/main" xmlns:pic="http://schemas.openxmlformats.org/drawingml/2006/picture">
            <wp:extent cx="5943600" cy="2575560"/>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575560"/>
                    </a:xfrm>
                    <a:prstGeom prst="rect"/>
                  </pic:spPr>
                </pic:pic>
              </a:graphicData>
            </a:graphic>
          </wp:inline>
        </w:drawing>
      </w:r>
    </w:p>
    <w:p>
      <w:pPr>
        <w:spacing w:after="240"/>
        <w:jc w:val="center"/>
      </w:pPr>
      <w:r>
        <w:rPr>
          <w:rFonts w:ascii="Segoe UI" w:hAnsi="Segoe UI"/>
          <w:i/>
          <w:color w:val="757575"/>
          <w:sz w:val="19"/>
        </w:rPr>
        <w:t>Hình 2: Cơ chế điều phối công suất 3 lớp tự động và tính năng hủy slot Lớp 2 khi có bão</w:t>
      </w:r>
    </w:p>
    <w:p>
      <w:pPr>
        <w:spacing w:before="80" w:after="80"/>
        <w:jc w:val="center"/>
      </w:pPr>
      <w:r>
        <w:drawing>
          <wp:inline xmlns:a="http://schemas.openxmlformats.org/drawingml/2006/main" xmlns:pic="http://schemas.openxmlformats.org/drawingml/2006/picture">
            <wp:extent cx="5943600" cy="2547257"/>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547257"/>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21945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21945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71.4%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hoàn toàn hợp đồng thực tế của nhà xe Treviet và tải trọng Cont 40ft (17.2 tấn).</w:t>
        <w:br/>
        <w:t>2. Hiệu quả tài chính vượt trội: Giúp cụm liên minh HTX tiết kiệm gần 70 triệu đồng trong 1 tháng cao điểm vụ vải, giảm 68.7% sai số điều xe và triệt tiêu hoàn toàn rủi ro thiếu xe làm hư hỏng nông sản xuất khẩu.</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Thành viên k chính thức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