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pPr>
      <w:r>
        <w:rPr>
          <w:rFonts w:ascii="Times New Roman" w:hAnsi="Times New Roman"/>
          <w:b/>
          <w:i/>
          <w:color w:val="1565C0"/>
          <w:sz w:val="27"/>
        </w:rPr>
        <w:t>Bước 4. Điều phối toàn mạng bằng MILP</w:t>
      </w:r>
    </w:p>
    <w:p>
      <w:pPr>
        <w:spacing w:before="0" w:after="40" w:line="264" w:lineRule="auto"/>
        <w:jc w:val="both"/>
      </w:pPr>
      <w:r>
        <w:rPr>
          <w:rFonts w:ascii="Times New Roman" w:hAnsi="Times New Roman"/>
          <w:color w:val="212121"/>
          <w:sz w:val="22"/>
        </w:rPr>
        <w:t>Ở bước này, FrostLink không chỉ ghép 1 nhu cầu - 1 xe, mà xem toàn bộ mạng lưới trong một khoảng thời gian (ví dụ 1 - 3 ngày):</w:t>
      </w:r>
    </w:p>
    <w:p>
      <w:pPr>
        <w:spacing w:before="10" w:after="10"/>
        <w:ind w:left="288"/>
      </w:pPr>
      <w:r>
        <w:rPr>
          <w:rFonts w:ascii="Times New Roman" w:hAnsi="Times New Roman"/>
          <w:b/>
          <w:sz w:val="22"/>
        </w:rPr>
        <w:t xml:space="preserve">• </w:t>
      </w:r>
      <w:r>
        <w:rPr>
          <w:rFonts w:ascii="Times New Roman" w:hAnsi="Times New Roman"/>
          <w:color w:val="212121"/>
          <w:sz w:val="22"/>
        </w:rPr>
        <w:t>Gom tất cả nhu cầu từ nhiều HTX, nhiều điểm gom hàng.</w:t>
      </w:r>
    </w:p>
    <w:p>
      <w:pPr>
        <w:spacing w:before="10" w:after="10"/>
        <w:ind w:left="288"/>
      </w:pPr>
      <w:r>
        <w:rPr>
          <w:rFonts w:ascii="Times New Roman" w:hAnsi="Times New Roman"/>
          <w:b/>
          <w:sz w:val="22"/>
        </w:rPr>
        <w:t xml:space="preserve">• </w:t>
      </w:r>
      <w:r>
        <w:rPr>
          <w:rFonts w:ascii="Times New Roman" w:hAnsi="Times New Roman"/>
          <w:color w:val="212121"/>
          <w:sz w:val="22"/>
        </w:rPr>
        <w:t>Gom tất cả xe khả dụng (của đối tác cố định + xe vãng lai).</w:t>
      </w:r>
    </w:p>
    <w:p>
      <w:pPr>
        <w:spacing w:before="10" w:after="10"/>
        <w:ind w:left="288"/>
      </w:pPr>
      <w:r>
        <w:rPr>
          <w:rFonts w:ascii="Times New Roman" w:hAnsi="Times New Roman"/>
          <w:b/>
          <w:sz w:val="22"/>
        </w:rPr>
        <w:t xml:space="preserve">• </w:t>
      </w:r>
      <w:r>
        <w:rPr>
          <w:rFonts w:ascii="Times New Roman" w:hAnsi="Times New Roman"/>
          <w:color w:val="212121"/>
          <w:sz w:val="22"/>
        </w:rPr>
        <w:t>Đưa vào mô hình Quy hoạch tuyến tính nguyên (MILP – Mixed Integer Linear Programming).</w:t>
      </w:r>
    </w:p>
    <w:p>
      <w:pPr>
        <w:spacing w:before="10" w:after="10"/>
        <w:ind w:left="288"/>
      </w:pPr>
      <w:r>
        <w:rPr>
          <w:rFonts w:ascii="Times New Roman" w:hAnsi="Times New Roman"/>
          <w:b/>
          <w:sz w:val="22"/>
        </w:rPr>
        <w:t xml:space="preserve">• </w:t>
      </w:r>
      <w:r>
        <w:rPr>
          <w:rFonts w:ascii="Times New Roman" w:hAnsi="Times New Roman"/>
          <w:color w:val="212121"/>
          <w:sz w:val="22"/>
        </w:rPr>
        <w:t>Sử dụng bộ giải như Gurobi / PuLP (Python) để tìm phương án phân bổ tối ưu toàn cục.</w:t>
      </w:r>
    </w:p>
    <w:p>
      <w:pPr>
        <w:spacing w:before="60" w:after="20"/>
      </w:pPr>
      <w:r>
        <w:rPr>
          <w:rFonts w:ascii="Times New Roman" w:hAnsi="Times New Roman"/>
          <w:b/>
          <w:color w:val="212121"/>
          <w:sz w:val="22"/>
        </w:rPr>
        <w:t>Mục tiêu của MILP:</w:t>
      </w:r>
    </w:p>
    <w:p>
      <w:pPr>
        <w:spacing w:before="10" w:after="10"/>
        <w:ind w:left="288"/>
      </w:pPr>
      <w:r>
        <w:rPr>
          <w:rFonts w:ascii="Times New Roman" w:hAnsi="Times New Roman"/>
          <w:b/>
          <w:sz w:val="22"/>
        </w:rPr>
        <w:t xml:space="preserve">• </w:t>
      </w:r>
      <w:r>
        <w:rPr>
          <w:rFonts w:ascii="Times New Roman" w:hAnsi="Times New Roman"/>
          <w:color w:val="212121"/>
          <w:sz w:val="22"/>
        </w:rPr>
        <w:t>Ghép nối đa chuyến: một xe có thể chạy nhiều chặng / nhiều điểm trong ngày.</w:t>
      </w:r>
    </w:p>
    <w:p>
      <w:pPr>
        <w:spacing w:before="10" w:after="10"/>
        <w:ind w:left="288"/>
      </w:pPr>
      <w:r>
        <w:rPr>
          <w:rFonts w:ascii="Times New Roman" w:hAnsi="Times New Roman"/>
          <w:b/>
          <w:sz w:val="22"/>
        </w:rPr>
        <w:t xml:space="preserve">• </w:t>
      </w:r>
      <w:r>
        <w:rPr>
          <w:rFonts w:ascii="Times New Roman" w:hAnsi="Times New Roman"/>
          <w:color w:val="212121"/>
          <w:sz w:val="22"/>
        </w:rPr>
        <w:t>Triệt tiêu km chạy rỗng: giảm tối đa quãng đường xe không có hàng.</w:t>
      </w:r>
    </w:p>
    <w:p>
      <w:pPr>
        <w:spacing w:before="10" w:after="10"/>
        <w:ind w:left="288"/>
      </w:pPr>
      <w:r>
        <w:rPr>
          <w:rFonts w:ascii="Times New Roman" w:hAnsi="Times New Roman"/>
          <w:b/>
          <w:sz w:val="22"/>
        </w:rPr>
        <w:t xml:space="preserve">• </w:t>
      </w:r>
      <w:r>
        <w:rPr>
          <w:rFonts w:ascii="Times New Roman" w:hAnsi="Times New Roman"/>
          <w:color w:val="212121"/>
          <w:sz w:val="22"/>
        </w:rPr>
        <w:t>Cân bằng tải: tránh tình trạng có nơi thừa xe, nơi thiếu xe.</w:t>
      </w:r>
    </w:p>
    <w:p>
      <w:pPr>
        <w:spacing w:before="40" w:after="100"/>
        <w:jc w:val="both"/>
      </w:pPr>
      <w:r>
        <w:rPr>
          <w:rFonts w:ascii="Times New Roman" w:hAnsi="Times New Roman"/>
          <w:i/>
          <w:color w:val="0D47A1"/>
          <w:sz w:val="22"/>
        </w:rPr>
        <w:t>Nhờ MILP, FrostLink không chỉ có xe, mà còn có lộ trình xe hiệu quả nhất trên toàn mạng.</w:t>
      </w:r>
    </w:p>
    <w:p>
      <w:pPr>
        <w:spacing w:before="80" w:after="40"/>
      </w:pPr>
      <w:r>
        <w:rPr>
          <w:rFonts w:ascii="Times New Roman" w:hAnsi="Times New Roman"/>
          <w:b/>
          <w:color w:val="1565C0"/>
          <w:sz w:val="24"/>
        </w:rPr>
        <w:t>Mô hình hóa Toán học của Bài toán Điều phối MILP:</w:t>
      </w:r>
    </w:p>
    <w:p>
      <w:pPr>
        <w:spacing w:before="40" w:after="20"/>
      </w:pPr>
      <w:r>
        <w:rPr>
          <w:rFonts w:ascii="Times New Roman" w:hAnsi="Times New Roman"/>
          <w:b/>
          <w:color w:val="0D47A1"/>
          <w:sz w:val="23"/>
        </w:rPr>
        <w:t>1. Hệ thống Biến quyết định &amp; Tham số:</w:t>
      </w:r>
    </w:p>
    <w:p>
      <w:pPr>
        <w:spacing w:before="10" w:after="20" w:line="252" w:lineRule="auto"/>
        <w:ind w:left="288"/>
      </w:pPr>
      <w:r>
        <w:rPr>
          <w:rFonts w:ascii="Times New Roman" w:hAnsi="Times New Roman"/>
          <w:b/>
          <w:sz w:val="21"/>
        </w:rPr>
        <w:t xml:space="preserve">• </w:t>
      </w:r>
      <w:r>
        <w:rPr>
          <w:rFonts w:ascii="Times New Roman" w:hAnsi="Times New Roman"/>
          <w:b/>
          <w:i/>
          <w:sz w:val="21"/>
        </w:rPr>
        <w:t xml:space="preserve">x_ij ∈ {0, 1}: </w:t>
      </w:r>
      <w:r>
        <w:rPr>
          <w:rFonts w:ascii="Times New Roman" w:hAnsi="Times New Roman"/>
          <w:sz w:val="21"/>
        </w:rPr>
        <w:t>Biến nhị phân phân bổ (x_ij = 1 nếu gán đơn hàng i cho xe j; bằng 0 nếu ngược lại).</w:t>
      </w:r>
    </w:p>
    <w:p>
      <w:pPr>
        <w:spacing w:before="10" w:after="20" w:line="252" w:lineRule="auto"/>
        <w:ind w:left="288"/>
      </w:pPr>
      <w:r>
        <w:rPr>
          <w:rFonts w:ascii="Times New Roman" w:hAnsi="Times New Roman"/>
          <w:b/>
          <w:sz w:val="21"/>
        </w:rPr>
        <w:t xml:space="preserve">• </w:t>
      </w:r>
      <w:r>
        <w:rPr>
          <w:rFonts w:ascii="Times New Roman" w:hAnsi="Times New Roman"/>
          <w:b/>
          <w:i/>
          <w:sz w:val="21"/>
        </w:rPr>
        <w:t xml:space="preserve">y_j ∈ {0, 1}: </w:t>
      </w:r>
      <w:r>
        <w:rPr>
          <w:rFonts w:ascii="Times New Roman" w:hAnsi="Times New Roman"/>
          <w:sz w:val="21"/>
        </w:rPr>
        <w:t>Biến nhị phân kích hoạt phương tiện (y_j = 1 nếu xe j được huy động nổ máy; bằng 0 nếu xe nằm bãi để triệt tiêu chi phí mở xe).</w:t>
      </w:r>
    </w:p>
    <w:p>
      <w:pPr>
        <w:spacing w:before="10" w:after="20" w:line="252" w:lineRule="auto"/>
        <w:ind w:left="288"/>
      </w:pPr>
      <w:r>
        <w:rPr>
          <w:rFonts w:ascii="Times New Roman" w:hAnsi="Times New Roman"/>
          <w:b/>
          <w:sz w:val="21"/>
        </w:rPr>
        <w:t xml:space="preserve">• </w:t>
      </w:r>
      <w:r>
        <w:rPr>
          <w:rFonts w:ascii="Times New Roman" w:hAnsi="Times New Roman"/>
          <w:b/>
          <w:i/>
          <w:sz w:val="21"/>
        </w:rPr>
        <w:t xml:space="preserve">w_i, C_j: </w:t>
      </w:r>
      <w:r>
        <w:rPr>
          <w:rFonts w:ascii="Times New Roman" w:hAnsi="Times New Roman"/>
          <w:sz w:val="21"/>
        </w:rPr>
        <w:t>w_i là khối lượng hàng của đơn i (Tấn); C_j là tải trọng hữu dụng của Container lạnh 40 feet j (C_j = 17.28 Tấn/cont).</w:t>
      </w:r>
    </w:p>
    <w:p>
      <w:pPr>
        <w:spacing w:before="10" w:after="20" w:line="252" w:lineRule="auto"/>
        <w:ind w:left="288"/>
      </w:pPr>
      <w:r>
        <w:rPr>
          <w:rFonts w:ascii="Times New Roman" w:hAnsi="Times New Roman"/>
          <w:b/>
          <w:sz w:val="21"/>
        </w:rPr>
        <w:t xml:space="preserve">• </w:t>
      </w:r>
      <w:r>
        <w:rPr>
          <w:rFonts w:ascii="Times New Roman" w:hAnsi="Times New Roman"/>
          <w:b/>
          <w:i/>
          <w:sz w:val="21"/>
        </w:rPr>
        <w:t xml:space="preserve">FixedCost_j: </w:t>
      </w:r>
      <w:r>
        <w:rPr>
          <w:rFonts w:ascii="Times New Roman" w:hAnsi="Times New Roman"/>
          <w:sz w:val="21"/>
        </w:rPr>
        <w:t>Chi phí thuê xe cơ sở khi Container lạnh 40 feet j lăn bánh (định mức 9.0 triệu VNĐ/cont).</w:t>
      </w:r>
    </w:p>
    <w:p>
      <w:pPr>
        <w:spacing w:before="10" w:after="20" w:line="252" w:lineRule="auto"/>
        <w:ind w:left="288"/>
      </w:pPr>
      <w:r>
        <w:rPr>
          <w:rFonts w:ascii="Times New Roman" w:hAnsi="Times New Roman"/>
          <w:b/>
          <w:sz w:val="21"/>
        </w:rPr>
        <w:t xml:space="preserve">• </w:t>
      </w:r>
      <w:r>
        <w:rPr>
          <w:rFonts w:ascii="Times New Roman" w:hAnsi="Times New Roman"/>
          <w:b/>
          <w:i/>
          <w:sz w:val="21"/>
        </w:rPr>
        <w:t xml:space="preserve">DeadheadCost_ji: </w:t>
      </w:r>
      <w:r>
        <w:rPr>
          <w:rFonts w:ascii="Times New Roman" w:hAnsi="Times New Roman"/>
          <w:sz w:val="21"/>
        </w:rPr>
        <w:t>Chi phí phát sinh do xe chạy rỗng tiếp cận điểm đóng hàng (18.000 VNĐ/km rỗng).</w:t>
      </w:r>
    </w:p>
    <w:p>
      <w:pPr>
        <w:spacing w:before="10" w:after="20" w:line="252" w:lineRule="auto"/>
        <w:ind w:left="288"/>
      </w:pPr>
      <w:r>
        <w:rPr>
          <w:rFonts w:ascii="Times New Roman" w:hAnsi="Times New Roman"/>
          <w:b/>
          <w:sz w:val="21"/>
        </w:rPr>
        <w:t xml:space="preserve">• </w:t>
      </w:r>
      <w:r>
        <w:rPr>
          <w:rFonts w:ascii="Times New Roman" w:hAnsi="Times New Roman"/>
          <w:b/>
          <w:i/>
          <w:sz w:val="21"/>
        </w:rPr>
        <w:t xml:space="preserve">TransitCost_ij: </w:t>
      </w:r>
      <w:r>
        <w:rPr>
          <w:rFonts w:ascii="Times New Roman" w:hAnsi="Times New Roman"/>
          <w:sz w:val="21"/>
        </w:rPr>
        <w:t>Cước phí vận chuyển chính tuyến có tải từ HTX i đến cửa khẩu/kho đích.</w:t>
      </w:r>
    </w:p>
    <w:p>
      <w:pPr>
        <w:spacing w:before="80" w:after="20"/>
      </w:pPr>
      <w:r>
        <w:rPr>
          <w:rFonts w:ascii="Times New Roman" w:hAnsi="Times New Roman"/>
          <w:b/>
          <w:color w:val="0D47A1"/>
          <w:sz w:val="23"/>
        </w:rPr>
        <w:t>2. Hàm mục tiêu (Tối thiểu hóa Tổng chi phí Vận hành Toàn mạng):</w:t>
      </w:r>
    </w:p>
    <w:p>
      <w:pPr>
        <w:spacing w:before="30" w:after="30"/>
        <w:jc w:val="center"/>
      </w:pPr>
      <m:oMathPara>
        <m:oMath>
          <m:sSub>
            <m:e>
              <m:r>
                <m:t>min</m:t>
              </m:r>
            </m:e>
            <m:sub>
              <m:r>
                <m:t>𝐱,𝐲</m:t>
              </m:r>
            </m:sub>
          </m:sSub>
          <m:r>
            <m:t>Z=</m:t>
          </m:r>
          <m:nary>
            <m:naryPr>
              <m:chr m:val="∑"/>
              <m:limLoc m:val="subSup"/>
              <m:grow m:val="1"/>
              <m:subHide m:val="off"/>
              <m:supHide m:val="on"/>
            </m:naryPr>
            <m:sub>
              <m:r>
                <m:t>j∈J</m:t>
              </m:r>
            </m:sub>
            <m:sup/>
            <m:e>
              <m:sSub>
                <m:e>
                  <m:r>
                    <m:rPr>
                      <m:nor/>
                    </m:rPr>
                    <m:t>FixedCost</m:t>
                  </m:r>
                </m:e>
                <m:sub>
                  <m:r>
                    <m:t>j</m:t>
                  </m:r>
                </m:sub>
              </m:sSub>
            </m:e>
          </m:nary>
          <m:r>
            <m:t>·</m:t>
          </m:r>
          <m:sSub>
            <m:e>
              <m:r>
                <m:t>y</m:t>
              </m:r>
            </m:e>
            <m:sub>
              <m:r>
                <m:t>j</m:t>
              </m:r>
            </m:sub>
          </m:sSub>
          <m:r>
            <m:t>+</m:t>
          </m:r>
          <m:nary>
            <m:naryPr>
              <m:chr m:val="∑"/>
              <m:limLoc m:val="subSup"/>
              <m:grow m:val="1"/>
              <m:subHide m:val="off"/>
              <m:supHide m:val="on"/>
            </m:naryPr>
            <m:sub>
              <m:r>
                <m:t>i∈I</m:t>
              </m:r>
            </m:sub>
            <m:sup/>
            <m:e>
              <m:nary>
                <m:naryPr>
                  <m:chr m:val="∑"/>
                  <m:limLoc m:val="subSup"/>
                  <m:grow m:val="1"/>
                  <m:subHide m:val="off"/>
                  <m:supHide m:val="on"/>
                </m:naryPr>
                <m:sub>
                  <m:r>
                    <m:t>j∈J</m:t>
                  </m:r>
                </m:sub>
                <m:sup/>
                <m:e>
                  <m:sSub>
                    <m:e>
                      <m:r>
                        <m:t>x</m:t>
                      </m:r>
                    </m:e>
                    <m:sub>
                      <m:r>
                        <m:t>ij</m:t>
                      </m:r>
                    </m:sub>
                  </m:sSub>
                </m:e>
              </m:nary>
            </m:e>
          </m:nary>
          <m:r>
            <m:t>·</m:t>
          </m:r>
          <m:d>
            <m:dPr>
              <m:sepChr m:val="+"/>
            </m:dPr>
            <m:e>
              <m:sSub>
                <m:e>
                  <m:r>
                    <m:rPr>
                      <m:nor/>
                    </m:rPr>
                    <m:t>DeadheadCost</m:t>
                  </m:r>
                </m:e>
                <m:sub>
                  <m:r>
                    <m:t>ji</m:t>
                  </m:r>
                </m:sub>
              </m:sSub>
            </m:e>
            <m:e>
              <m:sSub>
                <m:e>
                  <m:r>
                    <m:rPr>
                      <m:nor/>
                    </m:rPr>
                    <m:t>TransitCost</m:t>
                  </m:r>
                </m:e>
                <m:sub>
                  <m:r>
                    <m:t>ij</m:t>
                  </m:r>
                </m:sub>
              </m:sSub>
            </m:e>
          </m:d>
        </m:oMath>
      </m:oMathPara>
    </w:p>
    <w:p>
      <w:pPr>
        <w:spacing w:before="0" w:after="60"/>
        <w:jc w:val="center"/>
      </w:pPr>
      <w:r>
        <w:rPr>
          <w:rFonts w:ascii="Times New Roman" w:hAnsi="Times New Roman"/>
          <w:i/>
          <w:color w:val="0D47A1"/>
          <w:sz w:val="20"/>
        </w:rPr>
        <w:t>(Ý nghĩa: Triệt tiêu tối đa chi phí mở xe thừa và giảm thiểu chi phí xe chạy rỗng deadhead).</w:t>
      </w:r>
    </w:p>
    <w:p>
      <w:pPr>
        <w:spacing w:before="60" w:after="20"/>
      </w:pPr>
      <w:r>
        <w:rPr>
          <w:rFonts w:ascii="Times New Roman" w:hAnsi="Times New Roman"/>
          <w:b/>
          <w:color w:val="0D47A1"/>
          <w:sz w:val="23"/>
        </w:rPr>
        <w:t>3. Các Ràng buộc Kỹ thuật Cốt lõi (Subject to Constraints):</w:t>
      </w:r>
    </w:p>
    <w:p>
      <w:pPr>
        <w:spacing w:before="30" w:after="10"/>
        <w:ind w:left="216"/>
      </w:pPr>
      <w:r>
        <w:rPr>
          <w:rFonts w:ascii="Times New Roman" w:hAnsi="Times New Roman"/>
          <w:b/>
          <w:sz w:val="21"/>
        </w:rPr>
        <w:t>• Ràng buộc phục vụ 100% đơn hàng (Mỗi lô hàng của HTX phải được đúng 1 xe tiếp nhận):</w:t>
      </w:r>
    </w:p>
    <w:p>
      <w:pPr>
        <w:spacing w:before="20" w:after="30"/>
        <w:jc w:val="center"/>
      </w:pPr>
      <m:oMathPara>
        <m:oMath>
          <m:nary>
            <m:naryPr>
              <m:chr m:val="∑"/>
              <m:limLoc m:val="subSup"/>
              <m:grow m:val="1"/>
              <m:subHide m:val="off"/>
              <m:supHide m:val="on"/>
            </m:naryPr>
            <m:sub>
              <m:r>
                <m:t>j∈J</m:t>
              </m:r>
            </m:sub>
            <m:sup/>
            <m:e>
              <m:sSub>
                <m:e>
                  <m:r>
                    <m:t>x</m:t>
                  </m:r>
                </m:e>
                <m:sub>
                  <m:r>
                    <m:t>ij</m:t>
                  </m:r>
                </m:sub>
              </m:sSub>
            </m:e>
          </m:nary>
          <m:r>
            <m:t>=1,</m:t>
          </m:r>
          <m:r>
            <m:t>∀i∈I</m:t>
          </m:r>
        </m:oMath>
      </m:oMathPara>
    </w:p>
    <w:p>
      <w:pPr>
        <w:spacing w:before="30" w:after="10"/>
        <w:ind w:left="216"/>
      </w:pPr>
      <w:r>
        <w:rPr>
          <w:rFonts w:ascii="Times New Roman" w:hAnsi="Times New Roman"/>
          <w:b/>
          <w:sz w:val="21"/>
        </w:rPr>
        <w:t>• Ràng buộc tải trọng hữu dụng &amp; liên kết kích hoạt xe (Không chở quá tải, chỉ gán cho xe đã kích hoạt y_j = 1):</w:t>
      </w:r>
    </w:p>
    <w:p>
      <w:pPr>
        <w:spacing w:before="20" w:after="30"/>
        <w:jc w:val="center"/>
      </w:pPr>
      <m:oMathPara>
        <m:oMath>
          <m:nary>
            <m:naryPr>
              <m:chr m:val="∑"/>
              <m:limLoc m:val="subSup"/>
              <m:grow m:val="1"/>
              <m:subHide m:val="off"/>
              <m:supHide m:val="on"/>
            </m:naryPr>
            <m:sub>
              <m:r>
                <m:t>i∈I</m:t>
              </m:r>
            </m:sub>
            <m:sup/>
            <m:e>
              <m:sSub>
                <m:e>
                  <m:r>
                    <m:t>w</m:t>
                  </m:r>
                </m:e>
                <m:sub>
                  <m:r>
                    <m:t>i</m:t>
                  </m:r>
                </m:sub>
              </m:sSub>
            </m:e>
          </m:nary>
          <m:r>
            <m:t>·</m:t>
          </m:r>
          <m:sSub>
            <m:e>
              <m:r>
                <m:t>x</m:t>
              </m:r>
            </m:e>
            <m:sub>
              <m:r>
                <m:t>ij</m:t>
              </m:r>
            </m:sub>
          </m:sSub>
          <m:r>
            <m:t>≤</m:t>
          </m:r>
          <m:sSub>
            <m:e>
              <m:r>
                <m:t>C</m:t>
              </m:r>
            </m:e>
            <m:sub>
              <m:r>
                <m:t>j</m:t>
              </m:r>
            </m:sub>
          </m:sSub>
          <m:r>
            <m:t>·</m:t>
          </m:r>
          <m:sSub>
            <m:e>
              <m:r>
                <m:t>y</m:t>
              </m:r>
            </m:e>
            <m:sub>
              <m:r>
                <m:t>j</m:t>
              </m:r>
            </m:sub>
          </m:sSub>
          <m:r>
            <m:t>,</m:t>
          </m:r>
          <m:r>
            <m:t>∀j∈J</m:t>
          </m:r>
        </m:oMath>
      </m:oMathPara>
    </w:p>
    <w:p>
      <w:pPr>
        <w:spacing w:before="30" w:after="10"/>
        <w:ind w:left="216"/>
      </w:pPr>
      <w:r>
        <w:rPr>
          <w:rFonts w:ascii="Times New Roman" w:hAnsi="Times New Roman"/>
          <w:b/>
          <w:sz w:val="21"/>
        </w:rPr>
        <w:t>• Ràng buộc tương thích chuỗi lạnh &amp; an toàn thực phẩm (Loại bỏ phương tiện không đạt dải nhiệt độ 2°C – 4°C):</w:t>
      </w:r>
    </w:p>
    <w:p>
      <w:pPr>
        <w:spacing w:before="20" w:after="40"/>
        <w:jc w:val="center"/>
      </w:pPr>
      <m:oMathPara>
        <m:oMath>
          <m:sSub>
            <m:e>
              <m:r>
                <m:t>x</m:t>
              </m:r>
            </m:e>
            <m:sub>
              <m:r>
                <m:t>ij</m:t>
              </m:r>
            </m:sub>
          </m:sSub>
          <m:r>
            <m:t>=0,</m:t>
          </m:r>
          <m:r>
            <m:t>∀(i,j)∉</m:t>
          </m:r>
          <m:r>
            <m:rPr>
              <m:nor/>
            </m:rPr>
            <m:t>CompatibleSet</m:t>
          </m:r>
        </m:oMath>
      </m:oMathPara>
    </w:p>
    <w:p>
      <w:pPr>
        <w:spacing w:before="60" w:after="20"/>
      </w:pPr>
      <w:r>
        <w:rPr>
          <w:rFonts w:ascii="Times New Roman" w:hAnsi="Times New Roman"/>
          <w:b/>
          <w:color w:val="0D47A1"/>
          <w:sz w:val="23"/>
        </w:rPr>
        <w:t>4. Hiệu quả Thực thi Thuật toán:</w:t>
      </w:r>
    </w:p>
    <w:p>
      <w:pPr>
        <w:spacing w:before="0" w:after="0" w:line="264" w:lineRule="auto"/>
        <w:jc w:val="both"/>
      </w:pPr>
      <w:r>
        <w:rPr>
          <w:rFonts w:ascii="Times New Roman" w:hAnsi="Times New Roman"/>
          <w:sz w:val="21"/>
        </w:rPr>
        <w:t>Mô hình được lập trình và giải tự động trên Python bằng bộ giải CBC / Gurobi. Với quy mô 15 HTX Lục Ngạn và đội xe 40–50 phương tiện, thời gian giải bài toán tối ưu toàn cục chỉ mất dưới 1.8 giây, cho phép tái điều phối tức thời khi thời tiết mưa bão làm thay đổi kế hoạch thu hái.</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