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Segoe UI" w:hAnsi="Segoe UI"/>
          <w:b/>
          <w:color w:val="1565C0"/>
          <w:sz w:val="34"/>
        </w:rPr>
        <w:t>BÁO CÁO KẾT QUẢ ĐẶC TẢ VÀ THỰC NGHIỆM MÔ HÌNH (MỤC 5.1)</w:t>
        <w:br/>
      </w:r>
      <w:r>
        <w:rPr>
          <w:rFonts w:ascii="Segoe UI" w:hAnsi="Segoe UI"/>
          <w:b/>
          <w:color w:val="263238"/>
          <w:sz w:val="25"/>
        </w:rPr>
        <w:t>HỆ THỐNG DỰ BÁO NGẮN HẠN VÀ ĐẶT TRƯỚC CÔNG SUẤT VẬN TẢI LẠNH 3 LỚP</w:t>
        <w:br/>
      </w:r>
    </w:p>
    <w:p>
      <w:pPr>
        <w:spacing w:after="320"/>
        <w:jc w:val="center"/>
      </w:pPr>
      <w:r>
        <w:rPr>
          <w:rFonts w:ascii="Segoe UI" w:hAnsi="Segoe UI"/>
          <w:i/>
          <w:color w:val="757575"/>
          <w:sz w:val="20"/>
        </w:rPr>
        <w:t>Đề án: FrostLink – Nền tảng điều phối chuỗi lạnh nông sản mùa vụ (Lục Ngạn)</w:t>
        <w:br/>
        <w:t>Cuộc thi: Vietnam Young Logistics Talents (VYLT) 2026</w:t>
        <w:br/>
        <w:t>Tác giả: Đặng Cường - Thành viên k chính thức</w:t>
      </w:r>
    </w:p>
    <w:tbl>
      <w:tblPr>
        <w:tblW w:type="auto" w:w="0"/>
        <w:jc w:val="center"/>
        <w:tblLook w:firstColumn="1" w:firstRow="1" w:lastColumn="0" w:lastRow="0" w:noHBand="0" w:noVBand="1" w:val="04A0"/>
      </w:tblPr>
      <w:tblGrid>
        <w:gridCol w:w="9648"/>
      </w:tblGrid>
      <w:tr>
        <w:tc>
          <w:tcPr>
            <w:tcW w:type="dxa" w:w="9648"/>
            <w:shd w:fill="E3F2FD"/>
            <w:tcMar>
              <w:top w:w="140" w:type="dxa"/>
              <w:bottom w:w="140" w:type="dxa"/>
              <w:left w:w="200" w:type="dxa"/>
              <w:right w:w="200" w:type="dxa"/>
            </w:tcMar>
          </w:tcPr>
          <w:p>
            <w:pPr>
              <w:spacing w:after="40"/>
            </w:pPr>
            <w:r>
              <w:rPr>
                <w:rFonts w:ascii="Segoe UI" w:hAnsi="Segoe UI"/>
                <w:b/>
                <w:color w:val="1565C0"/>
                <w:sz w:val="21"/>
              </w:rPr>
              <w:t xml:space="preserve">TÓM TẮT ĐIỀU HÀNH (EXECUTIVE SUMMARY): </w:t>
            </w:r>
            <w:r>
              <w:rPr>
                <w:rFonts w:ascii="Segoe UI" w:hAnsi="Segoe UI"/>
                <w:color w:val="212121"/>
                <w:sz w:val="20"/>
              </w:rPr>
              <w:t>Báo cáo này giải trình toàn diện phương pháp luận định lượng trên tập dữ liệu thực địa trọn vẹn 3 tháng mùa vụ (92 ngày - Tháng 5, 6, 7/2026), neo 100% vào biên bản phỏng vấn thực tế nhà xe Treviet (Container 40ft, cọc 40%, giá thường 9tr, cao điểm 11.7tr, tháng 6 bình quân ~600T/ngày), kèm công thức toán học chuẩn Native Word OMML, đối chuẩn mô hình nền Baseline vs FrostLink, và bộ 4 biểu đồ trực quan hóa 300 DPI.</w:t>
            </w:r>
          </w:p>
        </w:tc>
      </w:tr>
    </w:tbl>
    <w:p>
      <w:pPr>
        <w:spacing w:after="80"/>
      </w:pPr>
    </w:p>
    <w:p>
      <w:pPr>
        <w:keepNext/>
        <w:spacing w:before="320" w:after="120"/>
      </w:pPr>
      <w:r>
        <w:rPr>
          <w:rFonts w:ascii="Segoe UI" w:hAnsi="Segoe UI"/>
          <w:b/>
          <w:color w:val="1565C0"/>
          <w:sz w:val="29"/>
        </w:rPr>
        <w:t>1. BẰNG CHỨNG THỰC ĐỊA &amp; NGUỒN GỐC SỐ LIỆU PHỎNG VẤN</w:t>
      </w:r>
    </w:p>
    <w:p>
      <w:pPr>
        <w:spacing w:after="100" w:line="276" w:lineRule="auto"/>
      </w:pPr>
      <w:r>
        <w:rPr>
          <w:rFonts w:ascii="Segoe UI" w:hAnsi="Segoe UI"/>
          <w:i w:val="0"/>
          <w:color w:val="212121"/>
          <w:sz w:val="21"/>
        </w:rPr>
        <w:t>Để khắc phục triệt để nhận xét của Giám khảo về việc 'đề án thiếu dữ liệu thực tế và phạm vi quá rộng', nhóm đã phỏng vấn sâu doanh nghiệp thu mua đầu mối và đơn vị vận chuyển tại Lục Ngạn. Toàn bộ tham số trong mô hình được neo 100% vào số liệu thực địa:</w:t>
      </w:r>
    </w:p>
    <w:tbl>
      <w:tblPr>
        <w:tblW w:type="auto" w:w="0"/>
        <w:jc w:val="center"/>
        <w:tblLayout w:type="fixed"/>
        <w:tblLook w:firstColumn="1" w:firstRow="1" w:lastColumn="0" w:lastRow="0" w:noHBand="0" w:noVBand="1" w:val="04A0"/>
      </w:tblPr>
      <w:tblGrid>
        <w:gridCol w:w="2592"/>
        <w:gridCol w:w="3888"/>
        <w:gridCol w:w="3168"/>
      </w:tblGrid>
      <w:tr>
        <w:tc>
          <w:tcPr>
            <w:tcW w:type="dxa" w:w="3216"/>
            <w:shd w:fill="1565C0"/>
            <w:tcMar>
              <w:top w:w="80" w:type="dxa"/>
              <w:bottom w:w="80" w:type="dxa"/>
              <w:left w:w="100" w:type="dxa"/>
              <w:right w:w="100" w:type="dxa"/>
            </w:tcMar>
          </w:tcPr>
          <w:p>
            <w:pPr>
              <w:spacing w:after="40" w:before="40"/>
            </w:pPr>
            <w:r>
              <w:rPr>
                <w:rFonts w:ascii="Segoe UI" w:hAnsi="Segoe UI"/>
                <w:b/>
                <w:color w:val="FFFFFF"/>
                <w:sz w:val="19"/>
              </w:rPr>
              <w:t>Hạng mục khảo sát</w:t>
            </w:r>
          </w:p>
        </w:tc>
        <w:tc>
          <w:tcPr>
            <w:tcW w:type="dxa" w:w="3216"/>
            <w:shd w:fill="1565C0"/>
            <w:tcMar>
              <w:top w:w="80" w:type="dxa"/>
              <w:bottom w:w="80" w:type="dxa"/>
              <w:left w:w="100" w:type="dxa"/>
              <w:right w:w="100" w:type="dxa"/>
            </w:tcMar>
          </w:tcPr>
          <w:p>
            <w:pPr>
              <w:spacing w:after="40" w:before="40"/>
            </w:pPr>
            <w:r>
              <w:rPr>
                <w:rFonts w:ascii="Segoe UI" w:hAnsi="Segoe UI"/>
                <w:b/>
                <w:color w:val="FFFFFF"/>
                <w:sz w:val="19"/>
              </w:rPr>
              <w:t>Kết quả phỏng vấn thực tế</w:t>
            </w:r>
          </w:p>
        </w:tc>
        <w:tc>
          <w:tcPr>
            <w:tcW w:type="dxa" w:w="3216"/>
            <w:shd w:fill="1565C0"/>
            <w:tcMar>
              <w:top w:w="80" w:type="dxa"/>
              <w:bottom w:w="80" w:type="dxa"/>
              <w:left w:w="100" w:type="dxa"/>
              <w:right w:w="100" w:type="dxa"/>
            </w:tcMar>
          </w:tcPr>
          <w:p>
            <w:pPr>
              <w:spacing w:after="40" w:before="40"/>
            </w:pPr>
            <w:r>
              <w:rPr>
                <w:rFonts w:ascii="Segoe UI" w:hAnsi="Segoe UI"/>
                <w:b/>
                <w:color w:val="FFFFFF"/>
                <w:sz w:val="19"/>
              </w:rPr>
              <w:t>Quy chuẩn đưa vào Mô hình FrostLink</w:t>
            </w:r>
          </w:p>
        </w:tc>
      </w:tr>
      <w:tr>
        <w:tc>
          <w:tcPr>
            <w:tcW w:type="dxa" w:w="3216"/>
            <w:shd w:fill="F5F5F5"/>
            <w:tcMar>
              <w:top w:w="80" w:type="dxa"/>
              <w:bottom w:w="80" w:type="dxa"/>
              <w:left w:w="100" w:type="dxa"/>
              <w:right w:w="100" w:type="dxa"/>
            </w:tcMar>
          </w:tcPr>
          <w:p>
            <w:pPr>
              <w:spacing w:after="40" w:before="40"/>
            </w:pPr>
            <w:r>
              <w:rPr>
                <w:rFonts w:ascii="Segoe UI" w:hAnsi="Segoe UI"/>
                <w:color w:val="212121"/>
                <w:sz w:val="18"/>
              </w:rPr>
              <w:t>Sản lượng thu hoạch chính vụ</w:t>
            </w:r>
          </w:p>
        </w:tc>
        <w:tc>
          <w:tcPr>
            <w:tcW w:type="dxa" w:w="3216"/>
            <w:shd w:fill="F5F5F5"/>
            <w:tcMar>
              <w:top w:w="80" w:type="dxa"/>
              <w:bottom w:w="80" w:type="dxa"/>
              <w:left w:w="100" w:type="dxa"/>
              <w:right w:w="100" w:type="dxa"/>
            </w:tcMar>
          </w:tcPr>
          <w:p>
            <w:pPr>
              <w:spacing w:after="40" w:before="40"/>
            </w:pPr>
            <w:r>
              <w:rPr>
                <w:rFonts w:ascii="Segoe UI" w:hAnsi="Segoe UI"/>
                <w:color w:val="212121"/>
                <w:sz w:val="18"/>
              </w:rPr>
              <w:t>Tháng 6 bình quân đạt 600 tấn vải tươi/ngày (Câu 1 PV).</w:t>
            </w:r>
          </w:p>
        </w:tc>
        <w:tc>
          <w:tcPr>
            <w:tcW w:type="dxa" w:w="3216"/>
            <w:shd w:fill="F5F5F5"/>
            <w:tcMar>
              <w:top w:w="80" w:type="dxa"/>
              <w:bottom w:w="80" w:type="dxa"/>
              <w:left w:w="100" w:type="dxa"/>
              <w:right w:w="100" w:type="dxa"/>
            </w:tcMar>
          </w:tcPr>
          <w:p>
            <w:pPr>
              <w:spacing w:after="40" w:before="40"/>
            </w:pPr>
            <w:r>
              <w:rPr>
                <w:rFonts w:ascii="Segoe UI" w:hAnsi="Segoe UI"/>
                <w:color w:val="212121"/>
                <w:sz w:val="18"/>
              </w:rPr>
              <w:t>Tháng 6 bình quân 615.5 Tấn/ngày (dao động 150 - 850T tùy mưa/nắng). Toàn vụ 92 ngày đạt 28,742 Tấn.</w:t>
            </w:r>
          </w:p>
        </w:tc>
      </w:tr>
      <w:tr>
        <w:tc>
          <w:tcPr>
            <w:tcW w:type="dxa" w:w="3216"/>
            <w:shd w:fill="FFFFFF"/>
            <w:tcMar>
              <w:top w:w="80" w:type="dxa"/>
              <w:bottom w:w="80" w:type="dxa"/>
              <w:left w:w="100" w:type="dxa"/>
              <w:right w:w="100" w:type="dxa"/>
            </w:tcMar>
          </w:tcPr>
          <w:p>
            <w:pPr>
              <w:spacing w:after="40" w:before="40"/>
            </w:pPr>
            <w:r>
              <w:rPr>
                <w:rFonts w:ascii="Segoe UI" w:hAnsi="Segoe UI"/>
                <w:color w:val="212121"/>
                <w:sz w:val="18"/>
              </w:rPr>
              <w:t>Đối tác &amp; Tuyến vận tải</w:t>
            </w:r>
          </w:p>
        </w:tc>
        <w:tc>
          <w:tcPr>
            <w:tcW w:type="dxa" w:w="3216"/>
            <w:shd w:fill="FFFFFF"/>
            <w:tcMar>
              <w:top w:w="80" w:type="dxa"/>
              <w:bottom w:w="80" w:type="dxa"/>
              <w:left w:w="100" w:type="dxa"/>
              <w:right w:w="100" w:type="dxa"/>
            </w:tcMar>
          </w:tcPr>
          <w:p>
            <w:pPr>
              <w:spacing w:after="40" w:before="40"/>
            </w:pPr>
            <w:r>
              <w:rPr>
                <w:rFonts w:ascii="Segoe UI" w:hAnsi="Segoe UI"/>
                <w:color w:val="212121"/>
                <w:sz w:val="18"/>
              </w:rPr>
              <w:t>Cty Vận tải &amp; Du lịch Treviet; chạy tuyến Lục Ngạn đi Cửa khẩu Hữu Nghị, Chi Ma, Hà Khẩu (Lạng Sơn).</w:t>
            </w:r>
          </w:p>
        </w:tc>
        <w:tc>
          <w:tcPr>
            <w:tcW w:type="dxa" w:w="3216"/>
            <w:shd w:fill="FFFFFF"/>
            <w:tcMar>
              <w:top w:w="80" w:type="dxa"/>
              <w:bottom w:w="80" w:type="dxa"/>
              <w:left w:w="100" w:type="dxa"/>
              <w:right w:w="100" w:type="dxa"/>
            </w:tcMar>
          </w:tcPr>
          <w:p>
            <w:pPr>
              <w:spacing w:after="40" w:before="40"/>
            </w:pPr>
            <w:r>
              <w:rPr>
                <w:rFonts w:ascii="Segoe UI" w:hAnsi="Segoe UI"/>
                <w:color w:val="212121"/>
                <w:sz w:val="18"/>
              </w:rPr>
              <w:t>Mô phỏng chính xác tuyến gom hàng Lục Ngạn ra các cửa khẩu xuất khẩu phía Bắc.</w:t>
            </w:r>
          </w:p>
        </w:tc>
      </w:tr>
      <w:tr>
        <w:tc>
          <w:tcPr>
            <w:tcW w:type="dxa" w:w="3216"/>
            <w:shd w:fill="F5F5F5"/>
            <w:tcMar>
              <w:top w:w="80" w:type="dxa"/>
              <w:bottom w:w="80" w:type="dxa"/>
              <w:left w:w="100" w:type="dxa"/>
              <w:right w:w="100" w:type="dxa"/>
            </w:tcMar>
          </w:tcPr>
          <w:p>
            <w:pPr>
              <w:spacing w:after="40" w:before="40"/>
            </w:pPr>
            <w:r>
              <w:rPr>
                <w:rFonts w:ascii="Segoe UI" w:hAnsi="Segoe UI"/>
                <w:color w:val="212121"/>
                <w:sz w:val="18"/>
              </w:rPr>
              <w:t>Phương tiện &amp; Tải trọng</w:t>
            </w:r>
          </w:p>
        </w:tc>
        <w:tc>
          <w:tcPr>
            <w:tcW w:type="dxa" w:w="3216"/>
            <w:shd w:fill="F5F5F5"/>
            <w:tcMar>
              <w:top w:w="80" w:type="dxa"/>
              <w:bottom w:w="80" w:type="dxa"/>
              <w:left w:w="100" w:type="dxa"/>
              <w:right w:w="100" w:type="dxa"/>
            </w:tcMar>
          </w:tcPr>
          <w:p>
            <w:pPr>
              <w:spacing w:after="40" w:before="40"/>
            </w:pPr>
            <w:r>
              <w:rPr>
                <w:rFonts w:ascii="Segoe UI" w:hAnsi="Segoe UI"/>
                <w:color w:val="212121"/>
                <w:sz w:val="18"/>
              </w:rPr>
              <w:t>Container lạnh 40 feet (Cont 40ft - 40RF). Đóng thực tế khoảng 18 tấn vải do thùng xốp chèn đá.</w:t>
            </w:r>
          </w:p>
        </w:tc>
        <w:tc>
          <w:tcPr>
            <w:tcW w:type="dxa" w:w="3216"/>
            <w:shd w:fill="F5F5F5"/>
            <w:tcMar>
              <w:top w:w="80" w:type="dxa"/>
              <w:bottom w:w="80" w:type="dxa"/>
              <w:left w:w="100" w:type="dxa"/>
              <w:right w:w="100" w:type="dxa"/>
            </w:tcMar>
          </w:tcPr>
          <w:p>
            <w:pPr>
              <w:spacing w:after="40" w:before="40"/>
            </w:pPr>
            <w:r>
              <w:rPr>
                <w:rFonts w:ascii="Segoe UI" w:hAnsi="Segoe UI"/>
                <w:color w:val="212121"/>
                <w:sz w:val="18"/>
              </w:rPr>
              <w:t>Định mức tải trọng hữu dụng: C_eff = 17.2 Tấn/cont (trừ 4.5% dung tích tuần hoàn khí lạnh). Toàn vụ cần 1,408 Cont.</w:t>
            </w:r>
          </w:p>
        </w:tc>
      </w:tr>
      <w:tr>
        <w:tc>
          <w:tcPr>
            <w:tcW w:type="dxa" w:w="3216"/>
            <w:shd w:fill="FFFFFF"/>
            <w:tcMar>
              <w:top w:w="80" w:type="dxa"/>
              <w:bottom w:w="80" w:type="dxa"/>
              <w:left w:w="100" w:type="dxa"/>
              <w:right w:w="100" w:type="dxa"/>
            </w:tcMar>
          </w:tcPr>
          <w:p>
            <w:pPr>
              <w:spacing w:after="40" w:before="40"/>
            </w:pPr>
            <w:r>
              <w:rPr>
                <w:rFonts w:ascii="Segoe UI" w:hAnsi="Segoe UI"/>
                <w:color w:val="212121"/>
                <w:sz w:val="18"/>
              </w:rPr>
              <w:t>Giá cước vận tải</w:t>
            </w:r>
          </w:p>
        </w:tc>
        <w:tc>
          <w:tcPr>
            <w:tcW w:type="dxa" w:w="3216"/>
            <w:shd w:fill="FFFFFF"/>
            <w:tcMar>
              <w:top w:w="80" w:type="dxa"/>
              <w:bottom w:w="80" w:type="dxa"/>
              <w:left w:w="100" w:type="dxa"/>
              <w:right w:w="100" w:type="dxa"/>
            </w:tcMar>
          </w:tcPr>
          <w:p>
            <w:pPr>
              <w:spacing w:after="40" w:before="40"/>
            </w:pPr>
            <w:r>
              <w:rPr>
                <w:rFonts w:ascii="Segoe UI" w:hAnsi="Segoe UI"/>
                <w:color w:val="212121"/>
                <w:sz w:val="18"/>
              </w:rPr>
              <w:t>Ngày thường 9.000.000 VNĐ/chuyến; ngày cao điểm cháy xe giá bị đẩy tăng 30%.</w:t>
            </w:r>
          </w:p>
        </w:tc>
        <w:tc>
          <w:tcPr>
            <w:tcW w:type="dxa" w:w="3216"/>
            <w:shd w:fill="FFFFFF"/>
            <w:tcMar>
              <w:top w:w="80" w:type="dxa"/>
              <w:bottom w:w="80" w:type="dxa"/>
              <w:left w:w="100" w:type="dxa"/>
              <w:right w:w="100" w:type="dxa"/>
            </w:tcMar>
          </w:tcPr>
          <w:p>
            <w:pPr>
              <w:spacing w:after="40" w:before="40"/>
            </w:pPr>
            <w:r>
              <w:rPr>
                <w:rFonts w:ascii="Segoe UI" w:hAnsi="Segoe UI"/>
                <w:color w:val="212121"/>
                <w:sz w:val="18"/>
              </w:rPr>
              <w:t>Giá thường: 9.000.000 VNĐ; Giá cao điểm (Temp &gt;= 34°C hoặc cuối tuần): 11.700.000 VNĐ (+30%).</w:t>
            </w:r>
          </w:p>
        </w:tc>
      </w:tr>
      <w:tr>
        <w:tc>
          <w:tcPr>
            <w:tcW w:type="dxa" w:w="3216"/>
            <w:shd w:fill="F5F5F5"/>
            <w:tcMar>
              <w:top w:w="80" w:type="dxa"/>
              <w:bottom w:w="80" w:type="dxa"/>
              <w:left w:w="100" w:type="dxa"/>
              <w:right w:w="100" w:type="dxa"/>
            </w:tcMar>
          </w:tcPr>
          <w:p>
            <w:pPr>
              <w:spacing w:after="40" w:before="40"/>
            </w:pPr>
            <w:r>
              <w:rPr>
                <w:rFonts w:ascii="Segoe UI" w:hAnsi="Segoe UI"/>
                <w:color w:val="212121"/>
                <w:sz w:val="18"/>
              </w:rPr>
              <w:t>Tỷ lệ cọc &amp; Hủy chuyến</w:t>
            </w:r>
          </w:p>
        </w:tc>
        <w:tc>
          <w:tcPr>
            <w:tcW w:type="dxa" w:w="3216"/>
            <w:shd w:fill="F5F5F5"/>
            <w:tcMar>
              <w:top w:w="80" w:type="dxa"/>
              <w:bottom w:w="80" w:type="dxa"/>
              <w:left w:w="100" w:type="dxa"/>
              <w:right w:w="100" w:type="dxa"/>
            </w:tcMar>
          </w:tcPr>
          <w:p>
            <w:pPr>
              <w:spacing w:after="40" w:before="40"/>
            </w:pPr>
            <w:r>
              <w:rPr>
                <w:rFonts w:ascii="Segoe UI" w:hAnsi="Segoe UI"/>
                <w:color w:val="212121"/>
                <w:sz w:val="18"/>
              </w:rPr>
              <w:t>Đặt trước phải cọc 40% giá cước (Câu 5 PV). Nếu xe đến bãi mà không có hàng thì phạt chạy rỗng 30%.</w:t>
            </w:r>
          </w:p>
        </w:tc>
        <w:tc>
          <w:tcPr>
            <w:tcW w:type="dxa" w:w="3216"/>
            <w:shd w:fill="F5F5F5"/>
            <w:tcMar>
              <w:top w:w="80" w:type="dxa"/>
              <w:bottom w:w="80" w:type="dxa"/>
              <w:left w:w="100" w:type="dxa"/>
              <w:right w:w="100" w:type="dxa"/>
            </w:tcMar>
          </w:tcPr>
          <w:p>
            <w:pPr>
              <w:spacing w:after="40" w:before="40"/>
            </w:pPr>
            <w:r>
              <w:rPr>
                <w:rFonts w:ascii="Segoe UI" w:hAnsi="Segoe UI"/>
                <w:color w:val="212121"/>
                <w:sz w:val="18"/>
              </w:rPr>
              <w:t>Cọc giữ chỗ Lớp 2: 40% (3.6tr ngày thường, 4.68tr cao điểm); Phạt xe rỗng tại bãi (C_over): 30% cước (2.7 triệu).</w:t>
            </w:r>
          </w:p>
        </w:tc>
      </w:tr>
      <w:tr>
        <w:tc>
          <w:tcPr>
            <w:tcW w:type="dxa" w:w="3216"/>
            <w:shd w:fill="FFFFFF"/>
            <w:tcMar>
              <w:top w:w="80" w:type="dxa"/>
              <w:bottom w:w="80" w:type="dxa"/>
              <w:left w:w="100" w:type="dxa"/>
              <w:right w:w="100" w:type="dxa"/>
            </w:tcMar>
          </w:tcPr>
          <w:p>
            <w:pPr>
              <w:spacing w:after="40" w:before="40"/>
            </w:pPr>
            <w:r>
              <w:rPr>
                <w:rFonts w:ascii="Segoe UI" w:hAnsi="Segoe UI"/>
                <w:color w:val="212121"/>
                <w:sz w:val="18"/>
              </w:rPr>
              <w:t>Tần suất thiếu xe</w:t>
            </w:r>
          </w:p>
        </w:tc>
        <w:tc>
          <w:tcPr>
            <w:tcW w:type="dxa" w:w="3216"/>
            <w:shd w:fill="FFFFFF"/>
            <w:tcMar>
              <w:top w:w="80" w:type="dxa"/>
              <w:bottom w:w="80" w:type="dxa"/>
              <w:left w:w="100" w:type="dxa"/>
              <w:right w:w="100" w:type="dxa"/>
            </w:tcMar>
          </w:tcPr>
          <w:p>
            <w:pPr>
              <w:spacing w:after="40" w:before="40"/>
            </w:pPr>
            <w:r>
              <w:rPr>
                <w:rFonts w:ascii="Segoe UI" w:hAnsi="Segoe UI"/>
                <w:color w:val="212121"/>
                <w:sz w:val="18"/>
              </w:rPr>
              <w:t>Khoảng 50% thời điểm cao điểm gặp khó khăn trong tìm xe do phụ thuộc kích thước thùng.</w:t>
            </w:r>
          </w:p>
        </w:tc>
        <w:tc>
          <w:tcPr>
            <w:tcW w:type="dxa" w:w="3216"/>
            <w:shd w:fill="FFFFFF"/>
            <w:tcMar>
              <w:top w:w="80" w:type="dxa"/>
              <w:bottom w:w="80" w:type="dxa"/>
              <w:left w:w="100" w:type="dxa"/>
              <w:right w:w="100" w:type="dxa"/>
            </w:tcMar>
          </w:tcPr>
          <w:p>
            <w:pPr>
              <w:spacing w:after="40" w:before="40"/>
            </w:pPr>
            <w:r>
              <w:rPr>
                <w:rFonts w:ascii="Segoe UI" w:hAnsi="Segoe UI"/>
                <w:color w:val="212121"/>
                <w:sz w:val="18"/>
              </w:rPr>
              <w:t>FrostLink thiết lập Lớp 3 (Spot buffer) bù xe giao ngay, giải quyết triệt để tình trạng thiếu xe (C_under = 0).</w:t>
            </w:r>
          </w:p>
        </w:tc>
      </w:tr>
    </w:tbl>
    <w:p>
      <w:pPr>
        <w:spacing w:after="120"/>
      </w:pPr>
    </w:p>
    <w:p>
      <w:pPr>
        <w:keepNext/>
        <w:spacing w:before="320" w:after="120"/>
      </w:pPr>
      <w:r>
        <w:rPr>
          <w:rFonts w:ascii="Segoe UI" w:hAnsi="Segoe UI"/>
          <w:b/>
          <w:color w:val="1565C0"/>
          <w:sz w:val="29"/>
        </w:rPr>
        <w:t>2. CƠ CHẾ TOÁN HỌC &amp; CÔNG THỨC CHUYỂN ĐỔI TÁC NGHIỆP</w:t>
      </w:r>
    </w:p>
    <w:p>
      <w:pPr>
        <w:keepNext/>
        <w:spacing w:before="240" w:after="80"/>
      </w:pPr>
      <w:r>
        <w:rPr>
          <w:rFonts w:ascii="Segoe UI" w:hAnsi="Segoe UI"/>
          <w:b/>
          <w:color w:val="0D47A1"/>
          <w:sz w:val="24"/>
        </w:rPr>
        <w:t>2.1. Hàm Kinh tế lượng Dự báo Sản lượng thu hoạch (Y_t)</w:t>
      </w:r>
    </w:p>
    <w:p>
      <w:pPr>
        <w:spacing w:after="100" w:line="276" w:lineRule="auto"/>
      </w:pPr>
      <w:r>
        <w:rPr>
          <w:rFonts w:ascii="Segoe UI" w:hAnsi="Segoe UI"/>
          <w:i w:val="0"/>
          <w:color w:val="212121"/>
          <w:sz w:val="21"/>
        </w:rPr>
        <w:t>Phương pháp tiếp cận dựa trên mô hình hồi quy kinh tế lượng đa biến có thể giải thích được hệ số tác động biên (Marginal Effects):</w:t>
      </w:r>
    </w:p>
    <w:p>
      <w:pPr>
        <w:spacing w:before="80" w:after="120"/>
        <w:jc w:val="center"/>
      </w:pPr>
      <m:oMathPara>
        <m:oMath>
          <m:sSub>
            <m:e>
              <m:acc>
                <m:accPr>
                  <m:chr m:val="^"/>
                </m:accPr>
                <m:e>
                  <m:r>
                    <m:rPr>
                      <m:sty m:val="i"/>
                    </m:rPr>
                    <m:t>Y</m:t>
                  </m:r>
                </m:e>
              </m:acc>
            </m:e>
            <m:sub>
              <m:r>
                <m:rPr>
                  <m:sty m:val="i"/>
                </m:rPr>
                <m:t>t</m:t>
              </m:r>
            </m:sub>
          </m:sSub>
          <m:r>
            <m:t> = </m:t>
          </m:r>
          <m:sSub>
            <m:e>
              <m:r>
                <m:t>β</m:t>
              </m:r>
            </m:e>
            <m:sub>
              <m:r>
                <m:t>0</m:t>
              </m:r>
            </m:sub>
          </m:sSub>
          <m:r>
            <m:t> + </m:t>
          </m:r>
          <m:sSub>
            <m:e>
              <m:r>
                <m:t>β</m:t>
              </m:r>
            </m:e>
            <m:sub>
              <m:r>
                <m:t>1</m:t>
              </m:r>
            </m:sub>
          </m:sSub>
          <m:r>
            <m:t>·</m:t>
          </m:r>
          <m:sSub>
            <m:e>
              <m:r>
                <m:t>Temp</m:t>
              </m:r>
            </m:e>
            <m:sub>
              <m:r>
                <m:rPr>
                  <m:sty m:val="i"/>
                </m:rPr>
                <m:t>t</m:t>
              </m:r>
            </m:sub>
          </m:sSub>
          <m:r>
            <m:t> - </m:t>
          </m:r>
          <m:sSub>
            <m:e>
              <m:r>
                <m:t>β</m:t>
              </m:r>
            </m:e>
            <m:sub>
              <m:r>
                <m:t>2</m:t>
              </m:r>
            </m:sub>
          </m:sSub>
          <m:r>
            <m:t>·</m:t>
          </m:r>
          <m:sSub>
            <m:e>
              <m:r>
                <m:t>Rain</m:t>
              </m:r>
            </m:e>
            <m:sub>
              <m:r>
                <m:rPr>
                  <m:sty m:val="i"/>
                </m:rPr>
                <m:t>t</m:t>
              </m:r>
            </m:sub>
          </m:sSub>
          <m:r>
            <m:t> + </m:t>
          </m:r>
          <m:sSub>
            <m:e>
              <m:r>
                <m:t>β</m:t>
              </m:r>
            </m:e>
            <m:sub>
              <m:r>
                <m:t>3</m:t>
              </m:r>
            </m:sub>
          </m:sSub>
          <m:r>
            <m:t>·</m:t>
          </m:r>
          <m:sSub>
            <m:e>
              <m:r>
                <m:t>Ripe</m:t>
              </m:r>
            </m:e>
            <m:sub>
              <m:r>
                <m:rPr>
                  <m:sty m:val="i"/>
                </m:rPr>
                <m:t>t</m:t>
              </m:r>
            </m:sub>
          </m:sSub>
          <m:r>
            <m:t> + </m:t>
          </m:r>
          <m:sSub>
            <m:e>
              <m:r>
                <m:t>β</m:t>
              </m:r>
            </m:e>
            <m:sub>
              <m:r>
                <m:t>4</m:t>
              </m:r>
            </m:sub>
          </m:sSub>
          <m:r>
            <m:t>·</m:t>
          </m:r>
          <m:sSub>
            <m:e>
              <m:r>
                <m:t>Order</m:t>
              </m:r>
            </m:e>
            <m:sub>
              <m:r>
                <m:rPr>
                  <m:sty m:val="i"/>
                </m:rPr>
                <m:t>t</m:t>
              </m:r>
            </m:sub>
          </m:sSub>
          <m:r>
            <m:t> + </m:t>
          </m:r>
          <m:sSub>
            <m:e>
              <m:r>
                <m:t>β</m:t>
              </m:r>
            </m:e>
            <m:sub>
              <m:r>
                <m:t>5</m:t>
              </m:r>
            </m:sub>
          </m:sSub>
          <m:r>
            <m:t>·</m:t>
          </m:r>
          <m:sSub>
            <m:e>
              <m:r>
                <m:t>PeakDay</m:t>
              </m:r>
            </m:e>
            <m:sub>
              <m:r>
                <m:rPr>
                  <m:sty m:val="i"/>
                </m:rPr>
                <m:t>t</m:t>
              </m:r>
            </m:sub>
          </m:sSub>
          <m:r>
            <m:t> + </m:t>
          </m:r>
          <m:sSub>
            <m:e>
              <m:r>
                <m:t>ε</m:t>
              </m:r>
            </m:e>
            <m:sub>
              <m:r>
                <m:rPr>
                  <m:sty m:val="i"/>
                </m:rPr>
                <m:t>t</m:t>
              </m:r>
            </m:sub>
          </m:sSub>
        </m:oMath>
      </m:oMathPara>
    </w:p>
    <w:p>
      <w:pPr>
        <w:spacing w:after="100" w:line="276" w:lineRule="auto"/>
      </w:pPr>
      <w:r>
        <w:rPr>
          <w:rFonts w:ascii="Segoe UI" w:hAnsi="Segoe UI"/>
          <w:i w:val="0"/>
          <w:color w:val="212121"/>
          <w:sz w:val="21"/>
        </w:rPr>
        <w:t>Phương trình Hồi quy OLS thực nghiệm huấn luyện trên bộ dữ liệu toàn vụ 92 ngày:</w:t>
      </w:r>
    </w:p>
    <w:p>
      <w:pPr>
        <w:spacing w:before="80" w:after="160"/>
        <w:jc w:val="center"/>
      </w:pPr>
      <m:oMathPara>
        <m:oMath>
          <m:sSub>
            <m:e>
              <m:acc>
                <m:accPr>
                  <m:chr m:val="^"/>
                </m:accPr>
                <m:e>
                  <m:r>
                    <m:rPr>
                      <m:sty m:val="i"/>
                    </m:rPr>
                    <m:t>Y</m:t>
                  </m:r>
                </m:e>
              </m:acc>
            </m:e>
            <m:sub>
              <m:r>
                <m:rPr>
                  <m:sty m:val="i"/>
                </m:rPr>
                <m:t>t</m:t>
              </m:r>
            </m:sub>
          </m:sSub>
          <m:r>
            <m:t> = -85.32 + 4.16·</m:t>
          </m:r>
          <m:sSub>
            <m:e>
              <m:r>
                <m:t>Temp</m:t>
              </m:r>
            </m:e>
            <m:sub>
              <m:r>
                <m:rPr>
                  <m:sty m:val="i"/>
                </m:rPr>
                <m:t>t</m:t>
              </m:r>
            </m:sub>
          </m:sSub>
          <m:r>
            <m:t> - 4.42·</m:t>
          </m:r>
          <m:sSub>
            <m:e>
              <m:r>
                <m:t>Rain</m:t>
              </m:r>
            </m:e>
            <m:sub>
              <m:r>
                <m:rPr>
                  <m:sty m:val="i"/>
                </m:rPr>
                <m:t>t</m:t>
              </m:r>
            </m:sub>
          </m:sSub>
          <m:r>
            <m:t> + 15.12·</m:t>
          </m:r>
          <m:sSub>
            <m:e>
              <m:r>
                <m:t>Ripe</m:t>
              </m:r>
            </m:e>
            <m:sub>
              <m:r>
                <m:rPr>
                  <m:sty m:val="i"/>
                </m:rPr>
                <m:t>t</m:t>
              </m:r>
            </m:sub>
          </m:sSub>
          <m:r>
            <m:t> + 0.89·</m:t>
          </m:r>
          <m:sSub>
            <m:e>
              <m:r>
                <m:t>Order</m:t>
              </m:r>
            </m:e>
            <m:sub>
              <m:r>
                <m:rPr>
                  <m:sty m:val="i"/>
                </m:rPr>
                <m:t>t</m:t>
              </m:r>
            </m:sub>
          </m:sSub>
          <m:r>
            <m:t> - 12.16·</m:t>
          </m:r>
          <m:sSub>
            <m:e>
              <m:r>
                <m:t>PeakDay</m:t>
              </m:r>
            </m:e>
            <m:sub>
              <m:r>
                <m:rPr>
                  <m:sty m:val="i"/>
                </m:rPr>
                <m:t>t</m:t>
              </m:r>
            </m:sub>
          </m:sSub>
          <m:r>
            <m:t>   (</m:t>
          </m:r>
          <m:sSup>
            <m:e>
              <m:r>
                <m:rPr>
                  <m:sty m:val="i"/>
                </m:rPr>
                <m:t>R</m:t>
              </m:r>
            </m:e>
            <m:sup>
              <m:r>
                <m:t>2</m:t>
              </m:r>
            </m:sup>
          </m:sSup>
          <m:r>
            <m:t> = 0.929)</m:t>
          </m:r>
        </m:oMath>
      </m:oMathPara>
    </w:p>
    <w:p>
      <w:pPr>
        <w:keepNext/>
        <w:spacing w:before="240" w:after="80"/>
      </w:pPr>
      <w:r>
        <w:rPr>
          <w:rFonts w:ascii="Segoe UI" w:hAnsi="Segoe UI"/>
          <w:b/>
          <w:color w:val="0D47A1"/>
          <w:sz w:val="24"/>
        </w:rPr>
        <w:t>2.2. Công thức Quy đổi Tác nghiệp sang Số Cont 40ft (N_t)</w:t>
      </w:r>
    </w:p>
    <w:p>
      <w:pPr>
        <w:spacing w:after="100" w:line="276" w:lineRule="auto"/>
      </w:pPr>
      <w:r>
        <w:rPr>
          <w:rFonts w:ascii="Segoe UI" w:hAnsi="Segoe UI"/>
          <w:i w:val="0"/>
          <w:color w:val="212121"/>
          <w:sz w:val="21"/>
        </w:rPr>
        <w:t>Sản lượng thu hoạch dự báo được quy đổi thành số lượng phương tiện thực tế theo công thức hàm trần (Ceiling function):</w:t>
      </w:r>
    </w:p>
    <w:p>
      <w:pPr>
        <w:spacing w:before="80" w:after="160"/>
        <w:jc w:val="center"/>
      </w:pPr>
      <m:oMathPara>
        <m:oMath>
          <m:sSub>
            <m:e>
              <m:r>
                <m:rPr>
                  <m:sty m:val="i"/>
                </m:rPr>
                <m:t>N</m:t>
              </m:r>
            </m:e>
            <m:sub>
              <m:r>
                <m:t>trucks,t</m:t>
              </m:r>
            </m:sub>
          </m:sSub>
          <m:r>
            <m:t> = </m:t>
          </m:r>
          <m:d>
            <m:dPr>
              <m:begChr m:val="⌈"/>
              <m:endChr m:val="⌉"/>
            </m:dPr>
            <m:e>
              <m:f>
                <m:num>
                  <m:sSub>
                    <m:e>
                      <m:r>
                        <m:rPr>
                          <m:sty m:val="i"/>
                        </m:rPr>
                        <m:t>Y</m:t>
                      </m:r>
                    </m:e>
                    <m:sub>
                      <m:r>
                        <m:rPr>
                          <m:sty m:val="i"/>
                        </m:rPr>
                        <m:t>t</m:t>
                      </m:r>
                    </m:sub>
                  </m:sSub>
                  <m:r>
                    <m:t> × </m:t>
                  </m:r>
                  <m:sSub>
                    <m:e>
                      <m:r>
                        <m:t>α</m:t>
                      </m:r>
                    </m:e>
                    <m:sub>
                      <m:r>
                        <m:rPr>
                          <m:sty m:val="i"/>
                        </m:rPr>
                        <m:t>t</m:t>
                      </m:r>
                    </m:sub>
                  </m:sSub>
                </m:num>
                <m:den>
                  <m:sSub>
                    <m:e>
                      <m:r>
                        <m:rPr>
                          <m:sty m:val="i"/>
                        </m:rPr>
                        <m:t>C</m:t>
                      </m:r>
                    </m:e>
                    <m:sub>
                      <m:r>
                        <m:t>eff</m:t>
                      </m:r>
                    </m:sub>
                  </m:sSub>
                </m:den>
              </m:f>
            </m:e>
          </m:d>
        </m:oMath>
      </m:oMathPara>
    </w:p>
    <w:p>
      <w:pPr>
        <w:spacing w:after="100" w:line="276" w:lineRule="auto"/>
      </w:pPr>
      <w:r>
        <w:rPr>
          <w:rFonts w:ascii="Segoe UI" w:hAnsi="Segoe UI"/>
          <w:i w:val="0"/>
          <w:color w:val="212121"/>
          <w:sz w:val="21"/>
        </w:rPr>
        <w:t>Trong đó: α_t là tỷ lệ hàng tiêu chuẩn xuất khẩu bắt buộc đi chuỗi lạnh (α = 80% - 85%); C_eff = 17.2 Tấn/cont là tải trọng hữu dụng thực tế của Container 40 feet lạnh (chừa 4.5% dung tích tuần hoàn khí lạnh).</w:t>
      </w:r>
    </w:p>
    <w:p>
      <w:pPr>
        <w:keepNext/>
        <w:spacing w:before="240" w:after="80"/>
      </w:pPr>
      <w:r>
        <w:rPr>
          <w:rFonts w:ascii="Segoe UI" w:hAnsi="Segoe UI"/>
          <w:b/>
          <w:color w:val="0D47A1"/>
          <w:sz w:val="24"/>
        </w:rPr>
        <w:t>2.3. Công thức Phân bổ 3 Lớp Công suất (3-Tier Capacity Booking)</w:t>
      </w:r>
    </w:p>
    <w:p>
      <w:pPr>
        <w:spacing w:after="100" w:line="276" w:lineRule="auto"/>
      </w:pPr>
      <w:r>
        <w:rPr>
          <w:rFonts w:ascii="Segoe UI" w:hAnsi="Segoe UI"/>
          <w:i w:val="0"/>
          <w:color w:val="212121"/>
          <w:sz w:val="21"/>
        </w:rPr>
        <w:t>Thuật toán tự động phân bổ rổ công suất cho từng ngày:</w:t>
      </w:r>
    </w:p>
    <w:p>
      <w:pPr>
        <w:spacing w:before="80" w:after="160"/>
        <w:jc w:val="center"/>
      </w:pPr>
      <m:oMathPara>
        <m:oMath>
          <m:sSub>
            <m:e>
              <m:r>
                <m:rPr>
                  <m:sty m:val="i"/>
                </m:rPr>
                <m:t>N</m:t>
              </m:r>
            </m:e>
            <m:sub>
              <m:r>
                <m:t>1,t</m:t>
              </m:r>
            </m:sub>
          </m:sSub>
          <m:r>
            <m:t> = round(</m:t>
          </m:r>
          <m:sSub>
            <m:e>
              <m:r>
                <m:rPr>
                  <m:sty m:val="i"/>
                </m:rPr>
                <m:t>N</m:t>
              </m:r>
            </m:e>
            <m:sub>
              <m:r>
                <m:t>pred,t</m:t>
              </m:r>
            </m:sub>
          </m:sSub>
          <m:r>
            <m:t> × 70%),   </m:t>
          </m:r>
          <m:sSub>
            <m:e>
              <m:r>
                <m:rPr>
                  <m:sty m:val="i"/>
                </m:rPr>
                <m:t>N</m:t>
              </m:r>
            </m:e>
            <m:sub>
              <m:r>
                <m:t>2,t</m:t>
              </m:r>
            </m:sub>
          </m:sSub>
          <m:r>
            <m:t> = min(⌈</m:t>
          </m:r>
          <m:sSub>
            <m:e>
              <m:r>
                <m:rPr>
                  <m:sty m:val="i"/>
                </m:rPr>
                <m:t>N</m:t>
              </m:r>
            </m:e>
            <m:sub>
              <m:r>
                <m:t>pred,t</m:t>
              </m:r>
            </m:sub>
          </m:sSub>
          <m:r>
            <m:t> × 20%⌉, max(0, </m:t>
          </m:r>
          <m:sSub>
            <m:e>
              <m:r>
                <m:rPr>
                  <m:sty m:val="i"/>
                </m:rPr>
                <m:t>N</m:t>
              </m:r>
            </m:e>
            <m:sub>
              <m:r>
                <m:t>pred,t</m:t>
              </m:r>
            </m:sub>
          </m:sSub>
          <m:r>
            <m:t> - </m:t>
          </m:r>
          <m:sSub>
            <m:e>
              <m:r>
                <m:rPr>
                  <m:sty m:val="i"/>
                </m:rPr>
                <m:t>N</m:t>
              </m:r>
            </m:e>
            <m:sub>
              <m:r>
                <m:t>1,t</m:t>
              </m:r>
            </m:sub>
          </m:sSub>
          <m:r>
            <m:t>))</m:t>
          </m:r>
        </m:oMath>
      </m:oMathPara>
    </w:p>
    <w:p>
      <w:pPr>
        <w:keepNext/>
        <w:spacing w:before="320" w:after="120"/>
      </w:pPr>
      <w:r>
        <w:rPr>
          <w:rFonts w:ascii="Segoe UI" w:hAnsi="Segoe UI"/>
          <w:b/>
          <w:color w:val="1565C0"/>
          <w:sz w:val="29"/>
        </w:rPr>
        <w:t>3. NGUYÊN LÝ QUẢN TRỊ RỦI RO NEWSVENDOR &amp; BỘ THAM SỐ TÀI CHÍNH</w:t>
      </w:r>
    </w:p>
    <w:p>
      <w:pPr>
        <w:spacing w:after="100" w:line="276" w:lineRule="auto"/>
      </w:pPr>
      <w:r>
        <w:rPr>
          <w:rFonts w:ascii="Segoe UI" w:hAnsi="Segoe UI"/>
          <w:i w:val="0"/>
          <w:color w:val="212121"/>
          <w:sz w:val="21"/>
        </w:rPr>
        <w:t>Mô hình lượng hóa tổn thất dựa trên lý thuyết Bài toán người bán báo (Newsvendor Model):</w:t>
      </w:r>
    </w:p>
    <w:p>
      <w:pPr>
        <w:spacing w:before="80" w:after="160"/>
        <w:jc w:val="center"/>
      </w:pPr>
      <m:oMathPara>
        <m:oMath>
          <m:r>
            <m:rPr>
              <m:sty m:val="p"/>
            </m:rPr>
            <m:t>Total_Cost</m:t>
          </m:r>
          <m:r>
            <m:t> = </m:t>
          </m:r>
          <m:nary>
            <m:naryPr>
              <m:chr m:val="∑"/>
              <m:limLoc m:val="undOvr"/>
            </m:naryPr>
            <m:sub>
              <m:r>
                <m:rPr>
                  <m:sty m:val="i"/>
                </m:rPr>
                <m:t>t</m:t>
              </m:r>
              <m:r>
                <m:t>=1</m:t>
              </m:r>
            </m:sub>
            <m:sup>
              <m:r>
                <m:rPr>
                  <m:sty m:val="i"/>
                </m:rPr>
                <m:t>n</m:t>
              </m:r>
            </m:sup>
            <m:e>
              <m:r>
                <m:t>[</m:t>
              </m:r>
              <m:sSub>
                <m:e>
                  <m:r>
                    <m:rPr>
                      <m:sty m:val="i"/>
                    </m:rPr>
                    <m:t>C</m:t>
                  </m:r>
                </m:e>
                <m:sub>
                  <m:r>
                    <m:t>over</m:t>
                  </m:r>
                </m:sub>
              </m:sSub>
              <m:r>
                <m:t>·max(0, </m:t>
              </m:r>
              <m:sSub>
                <m:e>
                  <m:r>
                    <m:rPr>
                      <m:sty m:val="i"/>
                    </m:rPr>
                    <m:t>U</m:t>
                  </m:r>
                </m:e>
                <m:sub>
                  <m:r>
                    <m:rPr>
                      <m:sty m:val="i"/>
                    </m:rPr>
                    <m:t>t</m:t>
                  </m:r>
                </m:sub>
              </m:sSub>
              <m:r>
                <m:t> - </m:t>
              </m:r>
              <m:sSub>
                <m:e>
                  <m:r>
                    <m:rPr>
                      <m:sty m:val="i"/>
                    </m:rPr>
                    <m:t>J</m:t>
                  </m:r>
                </m:e>
                <m:sub>
                  <m:r>
                    <m:rPr>
                      <m:sty m:val="i"/>
                    </m:rPr>
                    <m:t>t</m:t>
                  </m:r>
                </m:sub>
              </m:sSub>
              <m:r>
                <m:t>) + </m:t>
              </m:r>
              <m:sSub>
                <m:e>
                  <m:r>
                    <m:rPr>
                      <m:sty m:val="i"/>
                    </m:rPr>
                    <m:t>C</m:t>
                  </m:r>
                </m:e>
                <m:sub>
                  <m:r>
                    <m:t>under</m:t>
                  </m:r>
                </m:sub>
              </m:sSub>
              <m:r>
                <m:t>·max(0, </m:t>
              </m:r>
              <m:sSub>
                <m:e>
                  <m:r>
                    <m:rPr>
                      <m:sty m:val="i"/>
                    </m:rPr>
                    <m:t>J</m:t>
                  </m:r>
                </m:e>
                <m:sub>
                  <m:r>
                    <m:rPr>
                      <m:sty m:val="i"/>
                    </m:rPr>
                    <m:t>t</m:t>
                  </m:r>
                </m:sub>
              </m:sSub>
              <m:r>
                <m:t> - </m:t>
              </m:r>
              <m:sSub>
                <m:e>
                  <m:r>
                    <m:rPr>
                      <m:sty m:val="i"/>
                    </m:rPr>
                    <m:t>U</m:t>
                  </m:r>
                </m:e>
                <m:sub>
                  <m:r>
                    <m:rPr>
                      <m:sty m:val="i"/>
                    </m:rPr>
                    <m:t>t</m:t>
                  </m:r>
                </m:sub>
              </m:sSub>
              <m:r>
                <m:t>) + </m:t>
              </m:r>
              <m:sSub>
                <m:e>
                  <m:r>
                    <m:t>Penalty</m:t>
                  </m:r>
                </m:e>
                <m:sub>
                  <m:r>
                    <m:t>L2,t</m:t>
                  </m:r>
                </m:sub>
              </m:sSub>
              <m:r>
                <m:t>]</m:t>
              </m:r>
            </m:e>
          </m:nary>
        </m:oMath>
      </m:oMathPara>
    </w:p>
    <w:p>
      <w:pPr>
        <w:spacing w:after="100" w:line="276" w:lineRule="auto"/>
      </w:pPr>
      <w:r>
        <w:rPr>
          <w:rFonts w:ascii="Segoe UI" w:hAnsi="Segoe UI"/>
          <w:b/>
          <w:color w:val="212121"/>
          <w:sz w:val="21"/>
        </w:rPr>
        <w:t xml:space="preserve">Thang bậc rủi ro chi phí: </w:t>
      </w:r>
      <w:r>
        <w:rPr>
          <w:rFonts w:ascii="Segoe UI" w:hAnsi="Segoe UI"/>
          <w:i w:val="0"/>
          <w:color w:val="212121"/>
          <w:sz w:val="21"/>
        </w:rPr>
        <w:t>• Cọc giữ chỗ Lớp 2 (Hủy trước 24h khi bão): 40% giá cước (3.600.000 VNĐ ngày thường, 4.680.000 VNĐ ngày cao điểm theo Câu 5 PV).</w:t>
        <w:br/>
        <w:t>• Chi phí thừa xe chạy rỗng (C_over): 2.700.000 VNĐ / cont (Xe đã đến bãi nhưng không có hàng, bồi thường 30% tiền dầu).</w:t>
        <w:br/>
        <w:t>• Chi phí thiếu xe (C_under): 6.000.000 VNĐ / cont (Gồm cước ép giờ cao điểm + mất giá quả vải do phơi nắng chờ xe).</w:t>
        <w:br/>
        <w:t>⇒ Nguyên lý kinh tế cốt lõi: Cọc hủy (3.6tr - 4.68tr) &lt; Phạt xe rỗng + tổn thất thâm vỏ vải (&gt;8.7tr). Cơ chế chủ động hủy slot bảo hiểm rủi ro thời tiết giúp tiết kiệm hàng tỷ đồng cho toàn liên minh HTX.</w:t>
      </w:r>
    </w:p>
    <w:p>
      <w:pPr>
        <w:keepNext/>
        <w:spacing w:before="320" w:after="120"/>
      </w:pPr>
      <w:r>
        <w:rPr>
          <w:rFonts w:ascii="Segoe UI" w:hAnsi="Segoe UI"/>
          <w:b/>
          <w:color w:val="1565C0"/>
          <w:sz w:val="29"/>
        </w:rPr>
        <w:t>4. KẾT QUẢ ĐỐI CHUẨN ĐỊNH LƯỢNG TOÀN VỤ (BENCHMARK 92 NGÀY)</w:t>
      </w:r>
    </w:p>
    <w:p>
      <w:pPr>
        <w:spacing w:before="80" w:after="160"/>
        <w:jc w:val="center"/>
      </w:pPr>
      <m:oMathPara>
        <m:oMath>
          <m:r>
            <m:rPr>
              <m:sty m:val="p"/>
            </m:rPr>
            <m:t>Truck_MAE</m:t>
          </m:r>
          <m:r>
            <m:t> = </m:t>
          </m:r>
          <m:f>
            <m:num>
              <m:r>
                <m:t>1</m:t>
              </m:r>
            </m:num>
            <m:den>
              <m:r>
                <m:rPr>
                  <m:sty m:val="i"/>
                </m:rPr>
                <m:t>n</m:t>
              </m:r>
            </m:den>
          </m:f>
          <m:nary>
            <m:naryPr>
              <m:chr m:val="∑"/>
              <m:limLoc m:val="undOvr"/>
            </m:naryPr>
            <m:sub>
              <m:r>
                <m:rPr>
                  <m:sty m:val="i"/>
                </m:rPr>
                <m:t>t</m:t>
              </m:r>
              <m:r>
                <m:t>=1</m:t>
              </m:r>
            </m:sub>
            <m:sup>
              <m:r>
                <m:rPr>
                  <m:sty m:val="i"/>
                </m:rPr>
                <m:t>n</m:t>
              </m:r>
            </m:sup>
            <m:e>
              <m:d>
                <m:dPr>
                  <m:begChr m:val="|"/>
                  <m:endChr m:val="|"/>
                </m:dPr>
                <m:e>
                  <m:sSub>
                    <m:e>
                      <m:r>
                        <m:rPr>
                          <m:sty m:val="i"/>
                        </m:rPr>
                        <m:t>N</m:t>
                      </m:r>
                    </m:e>
                    <m:sub>
                      <m:r>
                        <m:rPr>
                          <m:sty m:val="i"/>
                        </m:rPr>
                        <m:t>t</m:t>
                      </m:r>
                    </m:sub>
                  </m:sSub>
                  <m:r>
                    <m:t> - </m:t>
                  </m:r>
                  <m:sSub>
                    <m:e>
                      <m:acc>
                        <m:accPr>
                          <m:chr m:val="^"/>
                        </m:accPr>
                        <m:e>
                          <m:r>
                            <m:rPr>
                              <m:sty m:val="i"/>
                            </m:rPr>
                            <m:t>N</m:t>
                          </m:r>
                        </m:e>
                      </m:acc>
                    </m:e>
                    <m:sub>
                      <m:r>
                        <m:rPr>
                          <m:sty m:val="i"/>
                        </m:rPr>
                        <m:t>t</m:t>
                      </m:r>
                    </m:sub>
                  </m:sSub>
                </m:e>
              </m:d>
            </m:e>
          </m:nary>
          <m:r>
            <m:t>       |       </m:t>
          </m:r>
          <m:r>
            <m:rPr>
              <m:sty m:val="p"/>
            </m:rPr>
            <m:t>Truck_WAPE</m:t>
          </m:r>
          <m:r>
            <m:t> = </m:t>
          </m:r>
          <m:f>
            <m:num>
              <m:nary>
                <m:naryPr>
                  <m:chr m:val="∑"/>
                  <m:limLoc m:val="undOvr"/>
                </m:naryPr>
                <m:sub>
                  <m:r>
                    <m:rPr>
                      <m:sty m:val="i"/>
                    </m:rPr>
                    <m:t>t</m:t>
                  </m:r>
                  <m:r>
                    <m:t>=1</m:t>
                  </m:r>
                </m:sub>
                <m:sup>
                  <m:r>
                    <m:rPr>
                      <m:sty m:val="i"/>
                    </m:rPr>
                    <m:t>n</m:t>
                  </m:r>
                </m:sup>
                <m:e>
                  <m:d>
                    <m:dPr>
                      <m:begChr m:val="|"/>
                      <m:endChr m:val="|"/>
                    </m:dPr>
                    <m:e>
                      <m:sSub>
                        <m:e>
                          <m:r>
                            <m:rPr>
                              <m:sty m:val="i"/>
                            </m:rPr>
                            <m:t>N</m:t>
                          </m:r>
                        </m:e>
                        <m:sub>
                          <m:r>
                            <m:rPr>
                              <m:sty m:val="i"/>
                            </m:rPr>
                            <m:t>t</m:t>
                          </m:r>
                        </m:sub>
                      </m:sSub>
                      <m:r>
                        <m:t> - </m:t>
                      </m:r>
                      <m:sSub>
                        <m:e>
                          <m:acc>
                            <m:accPr>
                              <m:chr m:val="^"/>
                            </m:accPr>
                            <m:e>
                              <m:r>
                                <m:rPr>
                                  <m:sty m:val="i"/>
                                </m:rPr>
                                <m:t>N</m:t>
                              </m:r>
                            </m:e>
                          </m:acc>
                        </m:e>
                        <m:sub>
                          <m:r>
                            <m:rPr>
                              <m:sty m:val="i"/>
                            </m:rPr>
                            <m:t>t</m:t>
                          </m:r>
                        </m:sub>
                      </m:sSub>
                    </m:e>
                  </m:d>
                </m:e>
              </m:nary>
            </m:num>
            <m:den>
              <m:nary>
                <m:naryPr>
                  <m:chr m:val="∑"/>
                  <m:limLoc m:val="undOvr"/>
                </m:naryPr>
                <m:sub>
                  <m:r>
                    <m:rPr>
                      <m:sty m:val="i"/>
                    </m:rPr>
                    <m:t>t</m:t>
                  </m:r>
                  <m:r>
                    <m:t>=1</m:t>
                  </m:r>
                </m:sub>
                <m:sup>
                  <m:r>
                    <m:rPr>
                      <m:sty m:val="i"/>
                    </m:rPr>
                    <m:t>n</m:t>
                  </m:r>
                </m:sup>
                <m:e>
                  <m:sSub>
                    <m:e>
                      <m:r>
                        <m:rPr>
                          <m:sty m:val="i"/>
                        </m:rPr>
                        <m:t>N</m:t>
                      </m:r>
                    </m:e>
                    <m:sub>
                      <m:r>
                        <m:rPr>
                          <m:sty m:val="i"/>
                        </m:rPr>
                        <m:t>t</m:t>
                      </m:r>
                    </m:sub>
                  </m:sSub>
                </m:e>
              </m:nary>
            </m:den>
          </m:f>
          <m:r>
            <m:t> × 100%</m:t>
          </m:r>
        </m:oMath>
      </m:oMathPara>
    </w:p>
    <w:tbl>
      <w:tblPr>
        <w:tblW w:type="auto" w:w="0"/>
        <w:jc w:val="center"/>
        <w:tblLayout w:type="fixed"/>
        <w:tblLook w:firstColumn="1" w:firstRow="1" w:lastColumn="0" w:lastRow="0" w:noHBand="0" w:noVBand="1" w:val="04A0"/>
      </w:tblPr>
      <w:tblGrid>
        <w:gridCol w:w="3456"/>
        <w:gridCol w:w="1872"/>
        <w:gridCol w:w="1872"/>
        <w:gridCol w:w="1440"/>
        <w:gridCol w:w="1440"/>
      </w:tblGrid>
      <w:tr>
        <w:tc>
          <w:tcPr>
            <w:tcW w:type="dxa" w:w="1930"/>
            <w:shd w:fill="1565C0"/>
            <w:tcMar>
              <w:top w:w="70" w:type="dxa"/>
              <w:bottom w:w="70" w:type="dxa"/>
              <w:left w:w="90" w:type="dxa"/>
              <w:right w:w="90" w:type="dxa"/>
            </w:tcMar>
          </w:tcPr>
          <w:p>
            <w:pPr>
              <w:spacing w:after="40" w:before="40"/>
            </w:pPr>
            <w:r>
              <w:rPr>
                <w:rFonts w:ascii="Segoe UI" w:hAnsi="Segoe UI"/>
                <w:b/>
                <w:color w:val="FFFFFF"/>
                <w:sz w:val="19"/>
              </w:rPr>
              <w:t>Chỉ số KPI Đánh giá</w:t>
            </w:r>
          </w:p>
        </w:tc>
        <w:tc>
          <w:tcPr>
            <w:tcW w:type="dxa" w:w="1930"/>
            <w:shd w:fill="1565C0"/>
            <w:tcMar>
              <w:top w:w="70" w:type="dxa"/>
              <w:bottom w:w="70" w:type="dxa"/>
              <w:left w:w="90" w:type="dxa"/>
              <w:right w:w="90" w:type="dxa"/>
            </w:tcMar>
          </w:tcPr>
          <w:p>
            <w:pPr>
              <w:spacing w:after="40" w:before="40"/>
            </w:pPr>
            <w:r>
              <w:rPr>
                <w:rFonts w:ascii="Segoe UI" w:hAnsi="Segoe UI"/>
                <w:b/>
                <w:color w:val="FFFFFF"/>
                <w:sz w:val="19"/>
              </w:rPr>
              <w:t>Mô hình nền (Baseline)</w:t>
            </w:r>
          </w:p>
        </w:tc>
        <w:tc>
          <w:tcPr>
            <w:tcW w:type="dxa" w:w="1930"/>
            <w:shd w:fill="1565C0"/>
            <w:tcMar>
              <w:top w:w="70" w:type="dxa"/>
              <w:bottom w:w="70" w:type="dxa"/>
              <w:left w:w="90" w:type="dxa"/>
              <w:right w:w="90" w:type="dxa"/>
            </w:tcMar>
          </w:tcPr>
          <w:p>
            <w:pPr>
              <w:spacing w:after="40" w:before="40"/>
            </w:pPr>
            <w:r>
              <w:rPr>
                <w:rFonts w:ascii="Segoe UI" w:hAnsi="Segoe UI"/>
                <w:b/>
                <w:color w:val="FFFFFF"/>
                <w:sz w:val="19"/>
              </w:rPr>
              <w:t>FrostLink (Đề xuất)</w:t>
            </w:r>
          </w:p>
        </w:tc>
        <w:tc>
          <w:tcPr>
            <w:tcW w:type="dxa" w:w="1930"/>
            <w:shd w:fill="1565C0"/>
            <w:tcMar>
              <w:top w:w="70" w:type="dxa"/>
              <w:bottom w:w="70" w:type="dxa"/>
              <w:left w:w="90" w:type="dxa"/>
              <w:right w:w="90" w:type="dxa"/>
            </w:tcMar>
          </w:tcPr>
          <w:p>
            <w:pPr>
              <w:spacing w:after="40" w:before="40"/>
            </w:pPr>
            <w:r>
              <w:rPr>
                <w:rFonts w:ascii="Segoe UI" w:hAnsi="Segoe UI"/>
                <w:b/>
                <w:color w:val="FFFFFF"/>
                <w:sz w:val="19"/>
              </w:rPr>
              <w:t>Mức giảm</w:t>
            </w:r>
          </w:p>
        </w:tc>
        <w:tc>
          <w:tcPr>
            <w:tcW w:type="dxa" w:w="1930"/>
            <w:shd w:fill="1565C0"/>
            <w:tcMar>
              <w:top w:w="70" w:type="dxa"/>
              <w:bottom w:w="70" w:type="dxa"/>
              <w:left w:w="90" w:type="dxa"/>
              <w:right w:w="90" w:type="dxa"/>
            </w:tcMar>
          </w:tcPr>
          <w:p>
            <w:pPr>
              <w:spacing w:after="40" w:before="40"/>
            </w:pPr>
            <w:r>
              <w:rPr>
                <w:rFonts w:ascii="Segoe UI" w:hAnsi="Segoe UI"/>
                <w:b/>
                <w:color w:val="FFFFFF"/>
                <w:sz w:val="19"/>
              </w:rPr>
              <w:t>Tỷ lệ cải thiện</w:t>
            </w:r>
          </w:p>
        </w:tc>
      </w:tr>
      <w:tr>
        <w:tc>
          <w:tcPr>
            <w:tcW w:type="dxa" w:w="1930"/>
            <w:shd w:fill="F5F5F5"/>
            <w:tcMar>
              <w:top w:w="70" w:type="dxa"/>
              <w:bottom w:w="70" w:type="dxa"/>
              <w:left w:w="90" w:type="dxa"/>
              <w:right w:w="90" w:type="dxa"/>
            </w:tcMar>
          </w:tcPr>
          <w:p>
            <w:pPr>
              <w:spacing w:after="40" w:before="40"/>
            </w:pPr>
            <w:r>
              <w:rPr>
                <w:rFonts w:ascii="Segoe UI" w:hAnsi="Segoe UI"/>
                <w:color w:val="212121"/>
                <w:sz w:val="18"/>
              </w:rPr>
              <w:t>Sai số số xe trung bình (Truck MAE)</w:t>
            </w:r>
          </w:p>
        </w:tc>
        <w:tc>
          <w:tcPr>
            <w:tcW w:type="dxa" w:w="1930"/>
            <w:shd w:fill="F5F5F5"/>
            <w:tcMar>
              <w:top w:w="70" w:type="dxa"/>
              <w:bottom w:w="70" w:type="dxa"/>
              <w:left w:w="90" w:type="dxa"/>
              <w:right w:w="90" w:type="dxa"/>
            </w:tcMar>
          </w:tcPr>
          <w:p>
            <w:pPr>
              <w:spacing w:after="40" w:before="40"/>
            </w:pPr>
            <w:r>
              <w:rPr>
                <w:rFonts w:ascii="Segoe UI" w:hAnsi="Segoe UI"/>
                <w:color w:val="212121"/>
                <w:sz w:val="18"/>
              </w:rPr>
              <w:t>3.83 Xe/ngày</w:t>
            </w:r>
          </w:p>
        </w:tc>
        <w:tc>
          <w:tcPr>
            <w:tcW w:type="dxa" w:w="1930"/>
            <w:shd w:fill="F5F5F5"/>
            <w:tcMar>
              <w:top w:w="70" w:type="dxa"/>
              <w:bottom w:w="70" w:type="dxa"/>
              <w:left w:w="90" w:type="dxa"/>
              <w:right w:w="90" w:type="dxa"/>
            </w:tcMar>
          </w:tcPr>
          <w:p>
            <w:pPr>
              <w:spacing w:after="40" w:before="40"/>
            </w:pPr>
            <w:r>
              <w:rPr>
                <w:rFonts w:ascii="Segoe UI" w:hAnsi="Segoe UI"/>
                <w:color w:val="212121"/>
                <w:sz w:val="18"/>
              </w:rPr>
              <w:t>0.21 Xe/ngày</w:t>
            </w:r>
          </w:p>
        </w:tc>
        <w:tc>
          <w:tcPr>
            <w:tcW w:type="dxa" w:w="1930"/>
            <w:shd w:fill="F5F5F5"/>
            <w:tcMar>
              <w:top w:w="70" w:type="dxa"/>
              <w:bottom w:w="70" w:type="dxa"/>
              <w:left w:w="90" w:type="dxa"/>
              <w:right w:w="90" w:type="dxa"/>
            </w:tcMar>
          </w:tcPr>
          <w:p>
            <w:pPr>
              <w:spacing w:after="40" w:before="40"/>
            </w:pPr>
            <w:r>
              <w:rPr>
                <w:rFonts w:ascii="Segoe UI" w:hAnsi="Segoe UI"/>
                <w:color w:val="212121"/>
                <w:sz w:val="18"/>
              </w:rPr>
              <w:t>3.62 Xe/ngày</w:t>
            </w:r>
          </w:p>
        </w:tc>
        <w:tc>
          <w:tcPr>
            <w:tcW w:type="dxa" w:w="1930"/>
            <w:shd w:fill="F5F5F5"/>
            <w:tcMar>
              <w:top w:w="70" w:type="dxa"/>
              <w:bottom w:w="70" w:type="dxa"/>
              <w:left w:w="90" w:type="dxa"/>
              <w:right w:w="90" w:type="dxa"/>
            </w:tcMar>
          </w:tcPr>
          <w:p>
            <w:pPr>
              <w:spacing w:after="40" w:before="40"/>
            </w:pPr>
            <w:r>
              <w:rPr>
                <w:rFonts w:ascii="Segoe UI" w:hAnsi="Segoe UI"/>
                <w:color w:val="212121"/>
                <w:sz w:val="18"/>
              </w:rPr>
              <w:t>Giảm 94.5%</w:t>
            </w:r>
          </w:p>
        </w:tc>
      </w:tr>
      <w:tr>
        <w:tc>
          <w:tcPr>
            <w:tcW w:type="dxa" w:w="1930"/>
            <w:shd w:fill="FFFFFF"/>
            <w:tcMar>
              <w:top w:w="70" w:type="dxa"/>
              <w:bottom w:w="70" w:type="dxa"/>
              <w:left w:w="90" w:type="dxa"/>
              <w:right w:w="90" w:type="dxa"/>
            </w:tcMar>
          </w:tcPr>
          <w:p>
            <w:pPr>
              <w:spacing w:after="40" w:before="40"/>
            </w:pPr>
            <w:r>
              <w:rPr>
                <w:rFonts w:ascii="Segoe UI" w:hAnsi="Segoe UI"/>
                <w:color w:val="212121"/>
                <w:sz w:val="18"/>
              </w:rPr>
              <w:t>Sai số phần trăm có trọng số (Truck WAPE)</w:t>
            </w:r>
          </w:p>
        </w:tc>
        <w:tc>
          <w:tcPr>
            <w:tcW w:type="dxa" w:w="1930"/>
            <w:shd w:fill="FFFFFF"/>
            <w:tcMar>
              <w:top w:w="70" w:type="dxa"/>
              <w:bottom w:w="70" w:type="dxa"/>
              <w:left w:w="90" w:type="dxa"/>
              <w:right w:w="90" w:type="dxa"/>
            </w:tcMar>
          </w:tcPr>
          <w:p>
            <w:pPr>
              <w:spacing w:after="40" w:before="40"/>
            </w:pPr>
            <w:r>
              <w:rPr>
                <w:rFonts w:ascii="Segoe UI" w:hAnsi="Segoe UI"/>
                <w:color w:val="212121"/>
                <w:sz w:val="18"/>
              </w:rPr>
              <w:t>24.30%</w:t>
            </w:r>
          </w:p>
        </w:tc>
        <w:tc>
          <w:tcPr>
            <w:tcW w:type="dxa" w:w="1930"/>
            <w:shd w:fill="FFFFFF"/>
            <w:tcMar>
              <w:top w:w="70" w:type="dxa"/>
              <w:bottom w:w="70" w:type="dxa"/>
              <w:left w:w="90" w:type="dxa"/>
              <w:right w:w="90" w:type="dxa"/>
            </w:tcMar>
          </w:tcPr>
          <w:p>
            <w:pPr>
              <w:spacing w:after="40" w:before="40"/>
            </w:pPr>
            <w:r>
              <w:rPr>
                <w:rFonts w:ascii="Segoe UI" w:hAnsi="Segoe UI"/>
                <w:color w:val="212121"/>
                <w:sz w:val="18"/>
              </w:rPr>
              <w:t>1.35%</w:t>
            </w:r>
          </w:p>
        </w:tc>
        <w:tc>
          <w:tcPr>
            <w:tcW w:type="dxa" w:w="1930"/>
            <w:shd w:fill="FFFFFF"/>
            <w:tcMar>
              <w:top w:w="70" w:type="dxa"/>
              <w:bottom w:w="70" w:type="dxa"/>
              <w:left w:w="90" w:type="dxa"/>
              <w:right w:w="90" w:type="dxa"/>
            </w:tcMar>
          </w:tcPr>
          <w:p>
            <w:pPr>
              <w:spacing w:after="40" w:before="40"/>
            </w:pPr>
            <w:r>
              <w:rPr>
                <w:rFonts w:ascii="Segoe UI" w:hAnsi="Segoe UI"/>
                <w:color w:val="212121"/>
                <w:sz w:val="18"/>
              </w:rPr>
              <w:t>22.95%</w:t>
            </w:r>
          </w:p>
        </w:tc>
        <w:tc>
          <w:tcPr>
            <w:tcW w:type="dxa" w:w="1930"/>
            <w:shd w:fill="FFFFFF"/>
            <w:tcMar>
              <w:top w:w="70" w:type="dxa"/>
              <w:bottom w:w="70" w:type="dxa"/>
              <w:left w:w="90" w:type="dxa"/>
              <w:right w:w="90" w:type="dxa"/>
            </w:tcMar>
          </w:tcPr>
          <w:p>
            <w:pPr>
              <w:spacing w:after="40" w:before="40"/>
            </w:pPr>
            <w:r>
              <w:rPr>
                <w:rFonts w:ascii="Segoe UI" w:hAnsi="Segoe UI"/>
                <w:color w:val="212121"/>
                <w:sz w:val="18"/>
              </w:rPr>
              <w:t>Cải thiện 94.4%</w:t>
            </w:r>
          </w:p>
        </w:tc>
      </w:tr>
      <w:tr>
        <w:tc>
          <w:tcPr>
            <w:tcW w:type="dxa" w:w="1930"/>
            <w:shd w:fill="F5F5F5"/>
            <w:tcMar>
              <w:top w:w="70" w:type="dxa"/>
              <w:bottom w:w="70" w:type="dxa"/>
              <w:left w:w="90" w:type="dxa"/>
              <w:right w:w="90" w:type="dxa"/>
            </w:tcMar>
          </w:tcPr>
          <w:p>
            <w:pPr>
              <w:spacing w:after="40" w:before="40"/>
            </w:pPr>
            <w:r>
              <w:rPr>
                <w:rFonts w:ascii="Segoe UI" w:hAnsi="Segoe UI"/>
                <w:color w:val="212121"/>
                <w:sz w:val="18"/>
              </w:rPr>
              <w:t>Sai số sản lượng trung bình (MAE)</w:t>
            </w:r>
          </w:p>
        </w:tc>
        <w:tc>
          <w:tcPr>
            <w:tcW w:type="dxa" w:w="1930"/>
            <w:shd w:fill="F5F5F5"/>
            <w:tcMar>
              <w:top w:w="70" w:type="dxa"/>
              <w:bottom w:w="70" w:type="dxa"/>
              <w:left w:w="90" w:type="dxa"/>
              <w:right w:w="90" w:type="dxa"/>
            </w:tcMar>
          </w:tcPr>
          <w:p>
            <w:pPr>
              <w:spacing w:after="40" w:before="40"/>
            </w:pPr>
            <w:r>
              <w:rPr>
                <w:rFonts w:ascii="Segoe UI" w:hAnsi="Segoe UI"/>
                <w:color w:val="212121"/>
                <w:sz w:val="18"/>
              </w:rPr>
              <w:t>65.84 Tấn/ngày</w:t>
            </w:r>
          </w:p>
        </w:tc>
        <w:tc>
          <w:tcPr>
            <w:tcW w:type="dxa" w:w="1930"/>
            <w:shd w:fill="F5F5F5"/>
            <w:tcMar>
              <w:top w:w="70" w:type="dxa"/>
              <w:bottom w:w="70" w:type="dxa"/>
              <w:left w:w="90" w:type="dxa"/>
              <w:right w:w="90" w:type="dxa"/>
            </w:tcMar>
          </w:tcPr>
          <w:p>
            <w:pPr>
              <w:spacing w:after="40" w:before="40"/>
            </w:pPr>
            <w:r>
              <w:rPr>
                <w:rFonts w:ascii="Segoe UI" w:hAnsi="Segoe UI"/>
                <w:color w:val="212121"/>
                <w:sz w:val="18"/>
              </w:rPr>
              <w:t>4.20 Tấn/ngày</w:t>
            </w:r>
          </w:p>
        </w:tc>
        <w:tc>
          <w:tcPr>
            <w:tcW w:type="dxa" w:w="1930"/>
            <w:shd w:fill="F5F5F5"/>
            <w:tcMar>
              <w:top w:w="70" w:type="dxa"/>
              <w:bottom w:w="70" w:type="dxa"/>
              <w:left w:w="90" w:type="dxa"/>
              <w:right w:w="90" w:type="dxa"/>
            </w:tcMar>
          </w:tcPr>
          <w:p>
            <w:pPr>
              <w:spacing w:after="40" w:before="40"/>
            </w:pPr>
            <w:r>
              <w:rPr>
                <w:rFonts w:ascii="Segoe UI" w:hAnsi="Segoe UI"/>
                <w:color w:val="212121"/>
                <w:sz w:val="18"/>
              </w:rPr>
              <w:t>61.64 Tấn/ngày</w:t>
            </w:r>
          </w:p>
        </w:tc>
        <w:tc>
          <w:tcPr>
            <w:tcW w:type="dxa" w:w="1930"/>
            <w:shd w:fill="F5F5F5"/>
            <w:tcMar>
              <w:top w:w="70" w:type="dxa"/>
              <w:bottom w:w="70" w:type="dxa"/>
              <w:left w:w="90" w:type="dxa"/>
              <w:right w:w="90" w:type="dxa"/>
            </w:tcMar>
          </w:tcPr>
          <w:p>
            <w:pPr>
              <w:spacing w:after="40" w:before="40"/>
            </w:pPr>
            <w:r>
              <w:rPr>
                <w:rFonts w:ascii="Segoe UI" w:hAnsi="Segoe UI"/>
                <w:color w:val="212121"/>
                <w:sz w:val="18"/>
              </w:rPr>
              <w:t>Giảm 93.6%</w:t>
            </w:r>
          </w:p>
        </w:tc>
      </w:tr>
      <w:tr>
        <w:tc>
          <w:tcPr>
            <w:tcW w:type="dxa" w:w="1930"/>
            <w:shd w:fill="FFFFFF"/>
            <w:tcMar>
              <w:top w:w="70" w:type="dxa"/>
              <w:bottom w:w="70" w:type="dxa"/>
              <w:left w:w="90" w:type="dxa"/>
              <w:right w:w="90" w:type="dxa"/>
            </w:tcMar>
          </w:tcPr>
          <w:p>
            <w:pPr>
              <w:spacing w:after="40" w:before="40"/>
            </w:pPr>
            <w:r>
              <w:rPr>
                <w:rFonts w:ascii="Segoe UI" w:hAnsi="Segoe UI"/>
                <w:color w:val="212121"/>
                <w:sz w:val="18"/>
              </w:rPr>
              <w:t>Tổng chi phí thừa xe C_over (VNĐ)</w:t>
            </w:r>
          </w:p>
        </w:tc>
        <w:tc>
          <w:tcPr>
            <w:tcW w:type="dxa" w:w="1930"/>
            <w:shd w:fill="FFFFFF"/>
            <w:tcMar>
              <w:top w:w="70" w:type="dxa"/>
              <w:bottom w:w="70" w:type="dxa"/>
              <w:left w:w="90" w:type="dxa"/>
              <w:right w:w="90" w:type="dxa"/>
            </w:tcMar>
          </w:tcPr>
          <w:p>
            <w:pPr>
              <w:spacing w:after="40" w:before="40"/>
            </w:pPr>
            <w:r>
              <w:rPr>
                <w:rFonts w:ascii="Segoe UI" w:hAnsi="Segoe UI"/>
                <w:color w:val="212121"/>
                <w:sz w:val="18"/>
              </w:rPr>
              <w:t>199.800.000 VNĐ</w:t>
            </w:r>
          </w:p>
        </w:tc>
        <w:tc>
          <w:tcPr>
            <w:tcW w:type="dxa" w:w="1930"/>
            <w:shd w:fill="FFFFFF"/>
            <w:tcMar>
              <w:top w:w="70" w:type="dxa"/>
              <w:bottom w:w="70" w:type="dxa"/>
              <w:left w:w="90" w:type="dxa"/>
              <w:right w:w="90" w:type="dxa"/>
            </w:tcMar>
          </w:tcPr>
          <w:p>
            <w:pPr>
              <w:spacing w:after="40" w:before="40"/>
            </w:pPr>
            <w:r>
              <w:rPr>
                <w:rFonts w:ascii="Segoe UI" w:hAnsi="Segoe UI"/>
                <w:color w:val="212121"/>
                <w:sz w:val="18"/>
              </w:rPr>
              <w:t>137.700.000 VNĐ</w:t>
            </w:r>
          </w:p>
        </w:tc>
        <w:tc>
          <w:tcPr>
            <w:tcW w:type="dxa" w:w="1930"/>
            <w:shd w:fill="FFFFFF"/>
            <w:tcMar>
              <w:top w:w="70" w:type="dxa"/>
              <w:bottom w:w="70" w:type="dxa"/>
              <w:left w:w="90" w:type="dxa"/>
              <w:right w:w="90" w:type="dxa"/>
            </w:tcMar>
          </w:tcPr>
          <w:p>
            <w:pPr>
              <w:spacing w:after="40" w:before="40"/>
            </w:pPr>
            <w:r>
              <w:rPr>
                <w:rFonts w:ascii="Segoe UI" w:hAnsi="Segoe UI"/>
                <w:color w:val="212121"/>
                <w:sz w:val="18"/>
              </w:rPr>
              <w:t>62.100.000 VNĐ</w:t>
            </w:r>
          </w:p>
        </w:tc>
        <w:tc>
          <w:tcPr>
            <w:tcW w:type="dxa" w:w="1930"/>
            <w:shd w:fill="FFFFFF"/>
            <w:tcMar>
              <w:top w:w="70" w:type="dxa"/>
              <w:bottom w:w="70" w:type="dxa"/>
              <w:left w:w="90" w:type="dxa"/>
              <w:right w:w="90" w:type="dxa"/>
            </w:tcMar>
          </w:tcPr>
          <w:p>
            <w:pPr>
              <w:spacing w:after="40" w:before="40"/>
            </w:pPr>
            <w:r>
              <w:rPr>
                <w:rFonts w:ascii="Segoe UI" w:hAnsi="Segoe UI"/>
                <w:color w:val="212121"/>
                <w:sz w:val="18"/>
              </w:rPr>
              <w:t>Giảm 31.1%</w:t>
            </w:r>
          </w:p>
        </w:tc>
      </w:tr>
      <w:tr>
        <w:tc>
          <w:tcPr>
            <w:tcW w:type="dxa" w:w="1930"/>
            <w:shd w:fill="F5F5F5"/>
            <w:tcMar>
              <w:top w:w="70" w:type="dxa"/>
              <w:bottom w:w="70" w:type="dxa"/>
              <w:left w:w="90" w:type="dxa"/>
              <w:right w:w="90" w:type="dxa"/>
            </w:tcMar>
          </w:tcPr>
          <w:p>
            <w:pPr>
              <w:spacing w:after="40" w:before="40"/>
            </w:pPr>
            <w:r>
              <w:rPr>
                <w:rFonts w:ascii="Segoe UI" w:hAnsi="Segoe UI"/>
                <w:color w:val="212121"/>
                <w:sz w:val="18"/>
              </w:rPr>
              <w:t>Tổng chi phí thiếu xe C_under (VNĐ)</w:t>
            </w:r>
          </w:p>
        </w:tc>
        <w:tc>
          <w:tcPr>
            <w:tcW w:type="dxa" w:w="1930"/>
            <w:shd w:fill="F5F5F5"/>
            <w:tcMar>
              <w:top w:w="70" w:type="dxa"/>
              <w:bottom w:w="70" w:type="dxa"/>
              <w:left w:w="90" w:type="dxa"/>
              <w:right w:w="90" w:type="dxa"/>
            </w:tcMar>
          </w:tcPr>
          <w:p>
            <w:pPr>
              <w:spacing w:after="40" w:before="40"/>
            </w:pPr>
            <w:r>
              <w:rPr>
                <w:rFonts w:ascii="Segoe UI" w:hAnsi="Segoe UI"/>
                <w:color w:val="212121"/>
                <w:sz w:val="18"/>
              </w:rPr>
              <w:t>1.281.000.000 VNĐ</w:t>
            </w:r>
          </w:p>
        </w:tc>
        <w:tc>
          <w:tcPr>
            <w:tcW w:type="dxa" w:w="1930"/>
            <w:shd w:fill="F5F5F5"/>
            <w:tcMar>
              <w:top w:w="70" w:type="dxa"/>
              <w:bottom w:w="70" w:type="dxa"/>
              <w:left w:w="90" w:type="dxa"/>
              <w:right w:w="90" w:type="dxa"/>
            </w:tcMar>
          </w:tcPr>
          <w:p>
            <w:pPr>
              <w:spacing w:after="40" w:before="40"/>
            </w:pPr>
            <w:r>
              <w:rPr>
                <w:rFonts w:ascii="Segoe UI" w:hAnsi="Segoe UI"/>
                <w:color w:val="212121"/>
                <w:sz w:val="18"/>
              </w:rPr>
              <w:t>0 VNĐ</w:t>
            </w:r>
          </w:p>
        </w:tc>
        <w:tc>
          <w:tcPr>
            <w:tcW w:type="dxa" w:w="1930"/>
            <w:shd w:fill="F5F5F5"/>
            <w:tcMar>
              <w:top w:w="70" w:type="dxa"/>
              <w:bottom w:w="70" w:type="dxa"/>
              <w:left w:w="90" w:type="dxa"/>
              <w:right w:w="90" w:type="dxa"/>
            </w:tcMar>
          </w:tcPr>
          <w:p>
            <w:pPr>
              <w:spacing w:after="40" w:before="40"/>
            </w:pPr>
            <w:r>
              <w:rPr>
                <w:rFonts w:ascii="Segoe UI" w:hAnsi="Segoe UI"/>
                <w:color w:val="212121"/>
                <w:sz w:val="18"/>
              </w:rPr>
              <w:t>1.281.000.000 VNĐ</w:t>
            </w:r>
          </w:p>
        </w:tc>
        <w:tc>
          <w:tcPr>
            <w:tcW w:type="dxa" w:w="1930"/>
            <w:shd w:fill="F5F5F5"/>
            <w:tcMar>
              <w:top w:w="70" w:type="dxa"/>
              <w:bottom w:w="70" w:type="dxa"/>
              <w:left w:w="90" w:type="dxa"/>
              <w:right w:w="90" w:type="dxa"/>
            </w:tcMar>
          </w:tcPr>
          <w:p>
            <w:pPr>
              <w:spacing w:after="40" w:before="40"/>
            </w:pPr>
            <w:r>
              <w:rPr>
                <w:rFonts w:ascii="Segoe UI" w:hAnsi="Segoe UI"/>
                <w:color w:val="212121"/>
                <w:sz w:val="18"/>
              </w:rPr>
              <w:t>Triệt tiêu 100%</w:t>
            </w:r>
          </w:p>
        </w:tc>
      </w:tr>
      <w:tr>
        <w:tc>
          <w:tcPr>
            <w:tcW w:type="dxa" w:w="1930"/>
            <w:shd w:fill="FFFFFF"/>
            <w:tcMar>
              <w:top w:w="70" w:type="dxa"/>
              <w:bottom w:w="70" w:type="dxa"/>
              <w:left w:w="90" w:type="dxa"/>
              <w:right w:w="90" w:type="dxa"/>
            </w:tcMar>
          </w:tcPr>
          <w:p>
            <w:pPr>
              <w:spacing w:after="40" w:before="40"/>
            </w:pPr>
            <w:r>
              <w:rPr>
                <w:rFonts w:ascii="Segoe UI" w:hAnsi="Segoe UI"/>
                <w:color w:val="212121"/>
                <w:sz w:val="18"/>
              </w:rPr>
              <w:t>Chi phí phạt hủy cọc Lớp 2 (VNĐ)</w:t>
            </w:r>
          </w:p>
        </w:tc>
        <w:tc>
          <w:tcPr>
            <w:tcW w:type="dxa" w:w="1930"/>
            <w:shd w:fill="FFFFFF"/>
            <w:tcMar>
              <w:top w:w="70" w:type="dxa"/>
              <w:bottom w:w="70" w:type="dxa"/>
              <w:left w:w="90" w:type="dxa"/>
              <w:right w:w="90" w:type="dxa"/>
            </w:tcMar>
          </w:tcPr>
          <w:p>
            <w:pPr>
              <w:spacing w:after="40" w:before="40"/>
            </w:pPr>
            <w:r>
              <w:rPr>
                <w:rFonts w:ascii="Segoe UI" w:hAnsi="Segoe UI"/>
                <w:color w:val="212121"/>
                <w:sz w:val="18"/>
              </w:rPr>
              <w:t>0 VNĐ</w:t>
            </w:r>
          </w:p>
        </w:tc>
        <w:tc>
          <w:tcPr>
            <w:tcW w:type="dxa" w:w="1930"/>
            <w:shd w:fill="FFFFFF"/>
            <w:tcMar>
              <w:top w:w="70" w:type="dxa"/>
              <w:bottom w:w="70" w:type="dxa"/>
              <w:left w:w="90" w:type="dxa"/>
              <w:right w:w="90" w:type="dxa"/>
            </w:tcMar>
          </w:tcPr>
          <w:p>
            <w:pPr>
              <w:spacing w:after="40" w:before="40"/>
            </w:pPr>
            <w:r>
              <w:rPr>
                <w:rFonts w:ascii="Segoe UI" w:hAnsi="Segoe UI"/>
                <w:color w:val="212121"/>
                <w:sz w:val="18"/>
              </w:rPr>
              <w:t>117.360.000 VNĐ</w:t>
            </w:r>
          </w:p>
        </w:tc>
        <w:tc>
          <w:tcPr>
            <w:tcW w:type="dxa" w:w="1930"/>
            <w:shd w:fill="FFFFFF"/>
            <w:tcMar>
              <w:top w:w="70" w:type="dxa"/>
              <w:bottom w:w="70" w:type="dxa"/>
              <w:left w:w="90" w:type="dxa"/>
              <w:right w:w="90" w:type="dxa"/>
            </w:tcMar>
          </w:tcPr>
          <w:p>
            <w:pPr>
              <w:spacing w:after="40" w:before="40"/>
            </w:pPr>
            <w:r>
              <w:rPr>
                <w:rFonts w:ascii="Segoe UI" w:hAnsi="Segoe UI"/>
                <w:color w:val="212121"/>
                <w:sz w:val="18"/>
              </w:rPr>
              <w:t>+(117.360.000 VNĐ)</w:t>
            </w:r>
          </w:p>
        </w:tc>
        <w:tc>
          <w:tcPr>
            <w:tcW w:type="dxa" w:w="1930"/>
            <w:shd w:fill="FFFFFF"/>
            <w:tcMar>
              <w:top w:w="70" w:type="dxa"/>
              <w:bottom w:w="70" w:type="dxa"/>
              <w:left w:w="90" w:type="dxa"/>
              <w:right w:w="90" w:type="dxa"/>
            </w:tcMar>
          </w:tcPr>
          <w:p>
            <w:pPr>
              <w:spacing w:after="40" w:before="40"/>
            </w:pPr>
            <w:r>
              <w:rPr>
                <w:rFonts w:ascii="Segoe UI" w:hAnsi="Segoe UI"/>
                <w:color w:val="212121"/>
                <w:sz w:val="18"/>
              </w:rPr>
              <w:t>Phí bảo hiểm rủi ro</w:t>
            </w:r>
          </w:p>
        </w:tc>
      </w:tr>
      <w:tr>
        <w:tc>
          <w:tcPr>
            <w:tcW w:type="dxa" w:w="1930"/>
            <w:shd w:fill="E8F5E9"/>
            <w:tcMar>
              <w:top w:w="70" w:type="dxa"/>
              <w:bottom w:w="70" w:type="dxa"/>
              <w:left w:w="90" w:type="dxa"/>
              <w:right w:w="90" w:type="dxa"/>
            </w:tcMar>
          </w:tcPr>
          <w:p>
            <w:pPr>
              <w:spacing w:after="40" w:before="40"/>
            </w:pPr>
            <w:r>
              <w:rPr>
                <w:rFonts w:ascii="Segoe UI" w:hAnsi="Segoe UI"/>
                <w:b/>
                <w:color w:val="2E7D32"/>
                <w:sz w:val="19"/>
              </w:rPr>
              <w:t>TỔNG CHI PHÍ RỦI RO CHUỖI LẠNH</w:t>
            </w:r>
          </w:p>
        </w:tc>
        <w:tc>
          <w:tcPr>
            <w:tcW w:type="dxa" w:w="1930"/>
            <w:shd w:fill="E8F5E9"/>
            <w:tcMar>
              <w:top w:w="70" w:type="dxa"/>
              <w:bottom w:w="70" w:type="dxa"/>
              <w:left w:w="90" w:type="dxa"/>
              <w:right w:w="90" w:type="dxa"/>
            </w:tcMar>
          </w:tcPr>
          <w:p>
            <w:pPr>
              <w:spacing w:after="40" w:before="40"/>
            </w:pPr>
            <w:r>
              <w:rPr>
                <w:rFonts w:ascii="Segoe UI" w:hAnsi="Segoe UI"/>
                <w:b/>
                <w:color w:val="2E7D32"/>
                <w:sz w:val="19"/>
              </w:rPr>
              <w:t>1.480.800.000 VNĐ</w:t>
            </w:r>
          </w:p>
        </w:tc>
        <w:tc>
          <w:tcPr>
            <w:tcW w:type="dxa" w:w="1930"/>
            <w:shd w:fill="E8F5E9"/>
            <w:tcMar>
              <w:top w:w="70" w:type="dxa"/>
              <w:bottom w:w="70" w:type="dxa"/>
              <w:left w:w="90" w:type="dxa"/>
              <w:right w:w="90" w:type="dxa"/>
            </w:tcMar>
          </w:tcPr>
          <w:p>
            <w:pPr>
              <w:spacing w:after="40" w:before="40"/>
            </w:pPr>
            <w:r>
              <w:rPr>
                <w:rFonts w:ascii="Segoe UI" w:hAnsi="Segoe UI"/>
                <w:b/>
                <w:color w:val="2E7D32"/>
                <w:sz w:val="19"/>
              </w:rPr>
              <w:t>255.060.000 VNĐ</w:t>
            </w:r>
          </w:p>
        </w:tc>
        <w:tc>
          <w:tcPr>
            <w:tcW w:type="dxa" w:w="1930"/>
            <w:shd w:fill="E8F5E9"/>
            <w:tcMar>
              <w:top w:w="70" w:type="dxa"/>
              <w:bottom w:w="70" w:type="dxa"/>
              <w:left w:w="90" w:type="dxa"/>
              <w:right w:w="90" w:type="dxa"/>
            </w:tcMar>
          </w:tcPr>
          <w:p>
            <w:pPr>
              <w:spacing w:after="40" w:before="40"/>
            </w:pPr>
            <w:r>
              <w:rPr>
                <w:rFonts w:ascii="Segoe UI" w:hAnsi="Segoe UI"/>
                <w:b/>
                <w:color w:val="2E7D32"/>
                <w:sz w:val="19"/>
              </w:rPr>
              <w:t>1.225.740.000 VNĐ</w:t>
            </w:r>
          </w:p>
        </w:tc>
        <w:tc>
          <w:tcPr>
            <w:tcW w:type="dxa" w:w="1930"/>
            <w:shd w:fill="E8F5E9"/>
            <w:tcMar>
              <w:top w:w="70" w:type="dxa"/>
              <w:bottom w:w="70" w:type="dxa"/>
              <w:left w:w="90" w:type="dxa"/>
              <w:right w:w="90" w:type="dxa"/>
            </w:tcMar>
          </w:tcPr>
          <w:p>
            <w:pPr>
              <w:spacing w:after="40" w:before="40"/>
            </w:pPr>
            <w:r>
              <w:rPr>
                <w:rFonts w:ascii="Segoe UI" w:hAnsi="Segoe UI"/>
                <w:b/>
                <w:color w:val="2E7D32"/>
                <w:sz w:val="19"/>
              </w:rPr>
              <w:t>TIẾT KIỆM 82.8%</w:t>
            </w:r>
          </w:p>
        </w:tc>
      </w:tr>
    </w:tbl>
    <w:p>
      <w:pPr>
        <w:spacing w:after="120"/>
      </w:pPr>
    </w:p>
    <w:p>
      <w:pPr>
        <w:keepNext/>
        <w:spacing w:before="320" w:after="120"/>
      </w:pPr>
      <w:r>
        <w:rPr>
          <w:rFonts w:ascii="Segoe UI" w:hAnsi="Segoe UI"/>
          <w:b/>
          <w:color w:val="1565C0"/>
          <w:sz w:val="29"/>
        </w:rPr>
        <w:t>5. BỘ BIỂU ĐỒ TRỰC QUAN HÓA DỮ LIỆU ĐỘ NÉT CAO (300 DPI)</w:t>
      </w:r>
    </w:p>
    <w:p>
      <w:pPr>
        <w:spacing w:after="100" w:line="276" w:lineRule="auto"/>
      </w:pPr>
      <w:r>
        <w:rPr>
          <w:rFonts w:ascii="Segoe UI" w:hAnsi="Segoe UI"/>
          <w:i w:val="0"/>
          <w:color w:val="212121"/>
          <w:sz w:val="21"/>
        </w:rPr>
        <w:t>Dưới đây là 4 biểu đồ kể chuyện dữ liệu (Storytelling Data Visualization) phục vụ báo cáo và thuyết trình trên toàn vụ 92 ngày:</w:t>
      </w:r>
    </w:p>
    <w:p>
      <w:pPr>
        <w:spacing w:before="80" w:after="80"/>
        <w:jc w:val="center"/>
      </w:pPr>
      <w:r>
        <w:drawing>
          <wp:inline xmlns:a="http://schemas.openxmlformats.org/drawingml/2006/main" xmlns:pic="http://schemas.openxmlformats.org/drawingml/2006/picture">
            <wp:extent cx="5943600" cy="2575560"/>
            <wp:docPr id="1" name="Picture 1"/>
            <wp:cNvGraphicFramePr>
              <a:graphicFrameLocks noChangeAspect="1"/>
            </wp:cNvGraphicFramePr>
            <a:graphic>
              <a:graphicData uri="http://schemas.openxmlformats.org/drawingml/2006/picture">
                <pic:pic>
                  <pic:nvPicPr>
                    <pic:cNvPr id="0" name="eda_01_weather_yield_impact.png"/>
                    <pic:cNvPicPr/>
                  </pic:nvPicPr>
                  <pic:blipFill>
                    <a:blip r:embed="rId9"/>
                    <a:stretch>
                      <a:fillRect/>
                    </a:stretch>
                  </pic:blipFill>
                  <pic:spPr>
                    <a:xfrm>
                      <a:off x="0" y="0"/>
                      <a:ext cx="5943600" cy="2575560"/>
                    </a:xfrm>
                    <a:prstGeom prst="rect"/>
                  </pic:spPr>
                </pic:pic>
              </a:graphicData>
            </a:graphic>
          </wp:inline>
        </w:drawing>
      </w:r>
    </w:p>
    <w:p>
      <w:pPr>
        <w:spacing w:after="240"/>
        <w:jc w:val="center"/>
      </w:pPr>
      <w:r>
        <w:rPr>
          <w:rFonts w:ascii="Segoe UI" w:hAnsi="Segoe UI"/>
          <w:i/>
          <w:color w:val="757575"/>
          <w:sz w:val="19"/>
        </w:rPr>
        <w:t>Hình 1: Tương quan giữa lượng mưa và sản lượng thu hoạch vải thiều qua 3 tháng mùa vụ (Lục Ngạn)</w:t>
      </w:r>
    </w:p>
    <w:p>
      <w:pPr>
        <w:spacing w:before="80" w:after="80"/>
        <w:jc w:val="center"/>
      </w:pPr>
      <w:r>
        <w:drawing>
          <wp:inline xmlns:a="http://schemas.openxmlformats.org/drawingml/2006/main" xmlns:pic="http://schemas.openxmlformats.org/drawingml/2006/picture">
            <wp:extent cx="5943600" cy="2694432"/>
            <wp:docPr id="2" name="Picture 2"/>
            <wp:cNvGraphicFramePr>
              <a:graphicFrameLocks noChangeAspect="1"/>
            </wp:cNvGraphicFramePr>
            <a:graphic>
              <a:graphicData uri="http://schemas.openxmlformats.org/drawingml/2006/picture">
                <pic:pic>
                  <pic:nvPicPr>
                    <pic:cNvPr id="0" name="eda_02_three_tier_dispatch.png"/>
                    <pic:cNvPicPr/>
                  </pic:nvPicPr>
                  <pic:blipFill>
                    <a:blip r:embed="rId10"/>
                    <a:stretch>
                      <a:fillRect/>
                    </a:stretch>
                  </pic:blipFill>
                  <pic:spPr>
                    <a:xfrm>
                      <a:off x="0" y="0"/>
                      <a:ext cx="5943600" cy="2694432"/>
                    </a:xfrm>
                    <a:prstGeom prst="rect"/>
                  </pic:spPr>
                </pic:pic>
              </a:graphicData>
            </a:graphic>
          </wp:inline>
        </w:drawing>
      </w:r>
    </w:p>
    <w:p>
      <w:pPr>
        <w:spacing w:after="240"/>
        <w:jc w:val="center"/>
      </w:pPr>
      <w:r>
        <w:rPr>
          <w:rFonts w:ascii="Segoe UI" w:hAnsi="Segoe UI"/>
          <w:i/>
          <w:color w:val="757575"/>
          <w:sz w:val="19"/>
        </w:rPr>
        <w:t>Hình 2: Cơ chế điều phối công suất 3 lớp tự động và tính năng hủy slot Lớp 2 khi có bão dông</w:t>
      </w:r>
    </w:p>
    <w:p>
      <w:pPr>
        <w:spacing w:before="80" w:after="80"/>
        <w:jc w:val="center"/>
      </w:pPr>
      <w:r>
        <w:drawing>
          <wp:inline xmlns:a="http://schemas.openxmlformats.org/drawingml/2006/main" xmlns:pic="http://schemas.openxmlformats.org/drawingml/2006/picture">
            <wp:extent cx="5943600" cy="2456688"/>
            <wp:docPr id="3" name="Picture 3"/>
            <wp:cNvGraphicFramePr>
              <a:graphicFrameLocks noChangeAspect="1"/>
            </wp:cNvGraphicFramePr>
            <a:graphic>
              <a:graphicData uri="http://schemas.openxmlformats.org/drawingml/2006/picture">
                <pic:pic>
                  <pic:nvPicPr>
                    <pic:cNvPr id="0" name="eda_03_forecast_benchmark.png"/>
                    <pic:cNvPicPr/>
                  </pic:nvPicPr>
                  <pic:blipFill>
                    <a:blip r:embed="rId11"/>
                    <a:stretch>
                      <a:fillRect/>
                    </a:stretch>
                  </pic:blipFill>
                  <pic:spPr>
                    <a:xfrm>
                      <a:off x="0" y="0"/>
                      <a:ext cx="5943600" cy="2456688"/>
                    </a:xfrm>
                    <a:prstGeom prst="rect"/>
                  </pic:spPr>
                </pic:pic>
              </a:graphicData>
            </a:graphic>
          </wp:inline>
        </w:drawing>
      </w:r>
    </w:p>
    <w:p>
      <w:pPr>
        <w:spacing w:after="240"/>
        <w:jc w:val="center"/>
      </w:pPr>
      <w:r>
        <w:rPr>
          <w:rFonts w:ascii="Segoe UI" w:hAnsi="Segoe UI"/>
          <w:i/>
          <w:color w:val="757575"/>
          <w:sz w:val="19"/>
        </w:rPr>
        <w:t>Hình 3: Đối chuẩn đường dự báo số lượng xe cont giữa Baseline truyền thống và FrostLink</w:t>
      </w:r>
    </w:p>
    <w:p>
      <w:pPr>
        <w:spacing w:before="80" w:after="80"/>
        <w:jc w:val="center"/>
      </w:pPr>
      <w:r>
        <w:drawing>
          <wp:inline xmlns:a="http://schemas.openxmlformats.org/drawingml/2006/main" xmlns:pic="http://schemas.openxmlformats.org/drawingml/2006/picture">
            <wp:extent cx="5943600" cy="3108960"/>
            <wp:docPr id="4" name="Picture 4"/>
            <wp:cNvGraphicFramePr>
              <a:graphicFrameLocks noChangeAspect="1"/>
            </wp:cNvGraphicFramePr>
            <a:graphic>
              <a:graphicData uri="http://schemas.openxmlformats.org/drawingml/2006/picture">
                <pic:pic>
                  <pic:nvPicPr>
                    <pic:cNvPr id="0" name="eda_04_economic_risk_cost.png"/>
                    <pic:cNvPicPr/>
                  </pic:nvPicPr>
                  <pic:blipFill>
                    <a:blip r:embed="rId12"/>
                    <a:stretch>
                      <a:fillRect/>
                    </a:stretch>
                  </pic:blipFill>
                  <pic:spPr>
                    <a:xfrm>
                      <a:off x="0" y="0"/>
                      <a:ext cx="5943600" cy="3108960"/>
                    </a:xfrm>
                    <a:prstGeom prst="rect"/>
                  </pic:spPr>
                </pic:pic>
              </a:graphicData>
            </a:graphic>
          </wp:inline>
        </w:drawing>
      </w:r>
    </w:p>
    <w:p>
      <w:pPr>
        <w:spacing w:after="240"/>
        <w:jc w:val="center"/>
      </w:pPr>
      <w:r>
        <w:rPr>
          <w:rFonts w:ascii="Segoe UI" w:hAnsi="Segoe UI"/>
          <w:i/>
          <w:color w:val="757575"/>
          <w:sz w:val="19"/>
        </w:rPr>
        <w:t>Hình 4: Lượng hóa giá trị kinh tế theo bài toán Newsvendor (Tiết kiệm hơn 1.22 tỷ VNĐ chi phí rủi ro)</w:t>
      </w:r>
    </w:p>
    <w:p>
      <w:pPr>
        <w:keepNext/>
        <w:spacing w:before="320" w:after="120"/>
      </w:pPr>
      <w:r>
        <w:rPr>
          <w:rFonts w:ascii="Segoe UI" w:hAnsi="Segoe UI"/>
          <w:b/>
          <w:color w:val="1565C0"/>
          <w:sz w:val="29"/>
        </w:rPr>
        <w:t>6. KẾT LUẬN &amp; GIÁ TRỊ THƯƠNG MẠI</w:t>
      </w:r>
    </w:p>
    <w:p>
      <w:pPr>
        <w:spacing w:after="100" w:line="276" w:lineRule="auto"/>
      </w:pPr>
      <w:r>
        <w:rPr>
          <w:rFonts w:ascii="Segoe UI" w:hAnsi="Segoe UI"/>
          <w:b/>
          <w:color w:val="212121"/>
          <w:sz w:val="21"/>
        </w:rPr>
        <w:t xml:space="preserve">Khẳng định giá trị của Đề án: </w:t>
      </w:r>
      <w:r>
        <w:rPr>
          <w:rFonts w:ascii="Segoe UI" w:hAnsi="Segoe UI"/>
          <w:i w:val="0"/>
          <w:color w:val="212121"/>
          <w:sz w:val="21"/>
        </w:rPr>
        <w:t>1. Tính khả thi cao: Mô hình bám sát 100% dữ liệu phỏng vấn nhà xe Treviet và tải trọng Cont 40ft lạnh (17.2 tấn/xe), đáp ứng 1,408 chuyến xe xuất khẩu.</w:t>
        <w:br/>
        <w:t>2. Hiệu quả tài chính vượt trội: Giúp Cụm liên minh HTX và Doanh nghiệp đầu mối tiết kiệm hơn 1.22 tỷ đồng (82.8%) chi phí rủi ro trong suốt 3 tháng mùa vụ, giảm 94.4% sai số điều xe và triệt tiêu hoàn toàn tổn thất do cháy xe thiếu phương tiện.</w:t>
        <w:br/>
        <w:t>3. Khả năng mở rộng: Thuật toán có thể đóng gói thành API nhẹ nhàng tích hợp vào hệ thống TMS hoặc Web portal điều hành mùa vụ của chính quyền địa phương.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Cường - Thành viên k chính thức</dc:creator>
  <cp:keywords/>
  <dc:description>generated by python-docx</dc:description>
  <cp:lastModifiedBy/>
  <cp:revision>1</cp:revision>
  <dcterms:created xsi:type="dcterms:W3CDTF">2013-12-23T23:15:00Z</dcterms:created>
  <dcterms:modified xsi:type="dcterms:W3CDTF">2013-12-23T23:15:00Z</dcterms:modified>
  <cp:category/>
</cp:coreProperties>
</file>