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rPr>
          <w:rFonts w:ascii="Segoe UI" w:hAnsi="Segoe UI"/>
          <w:b/>
          <w:color w:val="757575"/>
          <w:sz w:val="18"/>
        </w:rPr>
        <w:t>VIETNAM YOUNG LOGISTICS TALENTS (VYLT) 2026</w:t>
      </w:r>
    </w:p>
    <w:p>
      <w:pPr>
        <w:spacing w:after="80"/>
        <w:jc w:val="left"/>
      </w:pPr>
      <w:r>
        <w:rPr>
          <w:rFonts w:ascii="Segoe UI" w:hAnsi="Segoe UI"/>
          <w:b/>
          <w:color w:val="1565C0"/>
          <w:sz w:val="36"/>
        </w:rPr>
        <w:t>BÁO CÁO KỸ THUẬT &amp; TOÁN HỌC ĐỀ ÁN FROSTLINK (MỤC 5.1)</w:t>
      </w:r>
    </w:p>
    <w:p>
      <w:pPr>
        <w:spacing w:after="280"/>
        <w:jc w:val="left"/>
      </w:pPr>
      <w:r>
        <w:rPr>
          <w:rFonts w:ascii="Segoe UI" w:hAnsi="Segoe UI"/>
          <w:i/>
          <w:color w:val="757575"/>
          <w:sz w:val="23"/>
        </w:rPr>
        <w:t>Mô hình Dự báo Nhu cầu Nông sản và Tối ưu hóa Điều phối Đội xe Lạnh Hỗn hợp 3 Lớp (Toàn vụ 92 ngày)</w:t>
      </w:r>
    </w:p>
    <w:p>
      <w:pPr>
        <w:spacing w:after="240"/>
      </w:pPr>
      <w:r>
        <w:rPr>
          <w:rFonts w:ascii="Segoe UI" w:hAnsi="Segoe UI"/>
          <w:b/>
          <w:color w:val="1565C0"/>
          <w:sz w:val="19"/>
        </w:rPr>
        <w:t>Người thực hiện: Đặng Cường (Lead AI Engineer)  |  Địa bàn khảo sát: Huyện Lục Ngạn, Bắc Giang  |  Phiên bản: 5.1 Final</w:t>
      </w:r>
    </w:p>
    <w:p>
      <w:pPr>
        <w:spacing w:after="200"/>
        <w:pBdr>
          <w:bottom w:val="single" w:sz="12" w:space="1" w:color="1565C0"/>
        </w:pBdr>
      </w:pPr>
    </w:p>
    <w:p>
      <w:pPr>
        <w:keepNext/>
        <w:spacing w:before="320" w:after="120"/>
      </w:pPr>
      <w:r>
        <w:rPr>
          <w:rFonts w:ascii="Segoe UI" w:hAnsi="Segoe UI"/>
          <w:b/>
          <w:color w:val="1565C0"/>
          <w:sz w:val="29"/>
        </w:rPr>
        <w:t>1. CĂN CỨ THỰC TIỄN &amp; BỘ THAM SỐ KHẢO SÁT THỰC ĐỊA</w:t>
      </w:r>
    </w:p>
    <w:p>
      <w:pPr>
        <w:spacing w:after="100" w:line="276" w:lineRule="auto"/>
      </w:pPr>
      <w:r>
        <w:rPr>
          <w:rFonts w:ascii="Segoe UI" w:hAnsi="Segoe UI"/>
          <w:i w:val="0"/>
          <w:color w:val="212121"/>
          <w:sz w:val="21"/>
        </w:rPr>
        <w:t>Để khắc phục triệt để nhận xét của Giám khảo về việc 'đề án thiếu dữ liệu thực tế và phạm vi quá rộng', nhóm đã phỏng vấn sâu doanh nghiệp thu mua đầu mối và đơn vị vận chuyển tại Lục Ngạn. Toàn bộ tham số trong mô hình được neo 100% vào số liệu thực địa:</w:t>
      </w:r>
    </w:p>
    <w:tbl>
      <w:tblPr>
        <w:tblW w:type="auto" w:w="0"/>
        <w:jc w:val="center"/>
        <w:tblLayout w:type="fixed"/>
        <w:tblLook w:firstColumn="1" w:firstRow="1" w:lastColumn="0" w:lastRow="0" w:noHBand="0" w:noVBand="1" w:val="04A0"/>
      </w:tblPr>
      <w:tblGrid>
        <w:gridCol w:w="2592"/>
        <w:gridCol w:w="3888"/>
        <w:gridCol w:w="3168"/>
      </w:tblGrid>
      <w:tr>
        <w:tc>
          <w:tcPr>
            <w:tcW w:type="dxa" w:w="3216"/>
            <w:shd w:fill="1565C0"/>
            <w:tcMar>
              <w:top w:w="80" w:type="dxa"/>
              <w:bottom w:w="80" w:type="dxa"/>
              <w:left w:w="100" w:type="dxa"/>
              <w:right w:w="100" w:type="dxa"/>
            </w:tcMar>
          </w:tcPr>
          <w:p>
            <w:pPr>
              <w:spacing w:after="40" w:before="40"/>
            </w:pPr>
            <w:r>
              <w:rPr>
                <w:rFonts w:ascii="Segoe UI" w:hAnsi="Segoe UI"/>
                <w:b/>
                <w:color w:val="FFFFFF"/>
                <w:sz w:val="19"/>
              </w:rPr>
              <w:t>Hạng mục khảo sát</w:t>
            </w:r>
          </w:p>
        </w:tc>
        <w:tc>
          <w:tcPr>
            <w:tcW w:type="dxa" w:w="3216"/>
            <w:shd w:fill="1565C0"/>
            <w:tcMar>
              <w:top w:w="80" w:type="dxa"/>
              <w:bottom w:w="80" w:type="dxa"/>
              <w:left w:w="100" w:type="dxa"/>
              <w:right w:w="100" w:type="dxa"/>
            </w:tcMar>
          </w:tcPr>
          <w:p>
            <w:pPr>
              <w:spacing w:after="40" w:before="40"/>
            </w:pPr>
            <w:r>
              <w:rPr>
                <w:rFonts w:ascii="Segoe UI" w:hAnsi="Segoe UI"/>
                <w:b/>
                <w:color w:val="FFFFFF"/>
                <w:sz w:val="19"/>
              </w:rPr>
              <w:t>Kết quả phỏng vấn thực tế</w:t>
            </w:r>
          </w:p>
        </w:tc>
        <w:tc>
          <w:tcPr>
            <w:tcW w:type="dxa" w:w="3216"/>
            <w:shd w:fill="1565C0"/>
            <w:tcMar>
              <w:top w:w="80" w:type="dxa"/>
              <w:bottom w:w="80" w:type="dxa"/>
              <w:left w:w="100" w:type="dxa"/>
              <w:right w:w="100" w:type="dxa"/>
            </w:tcMar>
          </w:tcPr>
          <w:p>
            <w:pPr>
              <w:spacing w:after="40" w:before="40"/>
            </w:pPr>
            <w:r>
              <w:rPr>
                <w:rFonts w:ascii="Segoe UI" w:hAnsi="Segoe UI"/>
                <w:b/>
                <w:color w:val="FFFFFF"/>
                <w:sz w:val="19"/>
              </w:rPr>
              <w:t>Quy chuẩn đưa vào Mô hình FrostLink</w:t>
            </w:r>
          </w:p>
        </w:tc>
      </w:tr>
      <w:tr>
        <w:tc>
          <w:tcPr>
            <w:tcW w:type="dxa" w:w="3216"/>
            <w:shd w:fill="F5F5F5"/>
            <w:tcMar>
              <w:top w:w="80" w:type="dxa"/>
              <w:bottom w:w="80" w:type="dxa"/>
              <w:left w:w="100" w:type="dxa"/>
              <w:right w:w="100" w:type="dxa"/>
            </w:tcMar>
          </w:tcPr>
          <w:p>
            <w:pPr>
              <w:spacing w:after="40" w:before="40"/>
            </w:pPr>
            <w:r>
              <w:rPr>
                <w:rFonts w:ascii="Segoe UI" w:hAnsi="Segoe UI"/>
                <w:color w:val="212121"/>
                <w:sz w:val="18"/>
              </w:rPr>
              <w:t>Sản lượng thu hoạch chính vụ</w:t>
            </w:r>
          </w:p>
        </w:tc>
        <w:tc>
          <w:tcPr>
            <w:tcW w:type="dxa" w:w="3216"/>
            <w:shd w:fill="F5F5F5"/>
            <w:tcMar>
              <w:top w:w="80" w:type="dxa"/>
              <w:bottom w:w="80" w:type="dxa"/>
              <w:left w:w="100" w:type="dxa"/>
              <w:right w:w="100" w:type="dxa"/>
            </w:tcMar>
          </w:tcPr>
          <w:p>
            <w:pPr>
              <w:spacing w:after="40" w:before="40"/>
            </w:pPr>
            <w:r>
              <w:rPr>
                <w:rFonts w:ascii="Segoe UI" w:hAnsi="Segoe UI"/>
                <w:color w:val="212121"/>
                <w:sz w:val="18"/>
              </w:rPr>
              <w:t>Tháng 6 bình quân đạt 600 tấn vải tươi/ngày (Câu 1 PV).</w:t>
            </w:r>
          </w:p>
        </w:tc>
        <w:tc>
          <w:tcPr>
            <w:tcW w:type="dxa" w:w="3216"/>
            <w:shd w:fill="F5F5F5"/>
            <w:tcMar>
              <w:top w:w="80" w:type="dxa"/>
              <w:bottom w:w="80" w:type="dxa"/>
              <w:left w:w="100" w:type="dxa"/>
              <w:right w:w="100" w:type="dxa"/>
            </w:tcMar>
          </w:tcPr>
          <w:p>
            <w:pPr>
              <w:spacing w:after="40" w:before="40"/>
            </w:pPr>
            <w:r>
              <w:rPr>
                <w:rFonts w:ascii="Segoe UI" w:hAnsi="Segoe UI"/>
                <w:color w:val="212121"/>
                <w:sz w:val="18"/>
              </w:rPr>
              <w:t>Tháng 6 bình quân 615.5 Tấn/ngày (dao động 150 - 850T tùy mưa/nắng). Toàn vụ 92 ngày đạt 28,742 Tấn.</w:t>
            </w:r>
          </w:p>
        </w:tc>
      </w:tr>
      <w:tr>
        <w:tc>
          <w:tcPr>
            <w:tcW w:type="dxa" w:w="3216"/>
            <w:shd w:fill="FFFFFF"/>
            <w:tcMar>
              <w:top w:w="80" w:type="dxa"/>
              <w:bottom w:w="80" w:type="dxa"/>
              <w:left w:w="100" w:type="dxa"/>
              <w:right w:w="100" w:type="dxa"/>
            </w:tcMar>
          </w:tcPr>
          <w:p>
            <w:pPr>
              <w:spacing w:after="40" w:before="40"/>
            </w:pPr>
            <w:r>
              <w:rPr>
                <w:rFonts w:ascii="Segoe UI" w:hAnsi="Segoe UI"/>
                <w:color w:val="212121"/>
                <w:sz w:val="18"/>
              </w:rPr>
              <w:t>Đối tác &amp; Tuyến vận tải</w:t>
            </w:r>
          </w:p>
        </w:tc>
        <w:tc>
          <w:tcPr>
            <w:tcW w:type="dxa" w:w="3216"/>
            <w:shd w:fill="FFFFFF"/>
            <w:tcMar>
              <w:top w:w="80" w:type="dxa"/>
              <w:bottom w:w="80" w:type="dxa"/>
              <w:left w:w="100" w:type="dxa"/>
              <w:right w:w="100" w:type="dxa"/>
            </w:tcMar>
          </w:tcPr>
          <w:p>
            <w:pPr>
              <w:spacing w:after="40" w:before="40"/>
            </w:pPr>
            <w:r>
              <w:rPr>
                <w:rFonts w:ascii="Segoe UI" w:hAnsi="Segoe UI"/>
                <w:color w:val="212121"/>
                <w:sz w:val="18"/>
              </w:rPr>
              <w:t>Cty Vận tải &amp; Du lịch Treviet; chạy tuyến Lục Ngạn đi Cửa khẩu Hữu Nghị, Chi Ma, Hà Khẩu (Lạng Sơn).</w:t>
            </w:r>
          </w:p>
        </w:tc>
        <w:tc>
          <w:tcPr>
            <w:tcW w:type="dxa" w:w="3216"/>
            <w:shd w:fill="FFFFFF"/>
            <w:tcMar>
              <w:top w:w="80" w:type="dxa"/>
              <w:bottom w:w="80" w:type="dxa"/>
              <w:left w:w="100" w:type="dxa"/>
              <w:right w:w="100" w:type="dxa"/>
            </w:tcMar>
          </w:tcPr>
          <w:p>
            <w:pPr>
              <w:spacing w:after="40" w:before="40"/>
            </w:pPr>
            <w:r>
              <w:rPr>
                <w:rFonts w:ascii="Segoe UI" w:hAnsi="Segoe UI"/>
                <w:color w:val="212121"/>
                <w:sz w:val="18"/>
              </w:rPr>
              <w:t>Mô phỏng chính xác tuyến gom hàng Lục Ngạn ra các cửa khẩu xuất khẩu phía Bắc.</w:t>
            </w:r>
          </w:p>
        </w:tc>
      </w:tr>
      <w:tr>
        <w:tc>
          <w:tcPr>
            <w:tcW w:type="dxa" w:w="3216"/>
            <w:shd w:fill="F5F5F5"/>
            <w:tcMar>
              <w:top w:w="80" w:type="dxa"/>
              <w:bottom w:w="80" w:type="dxa"/>
              <w:left w:w="100" w:type="dxa"/>
              <w:right w:w="100" w:type="dxa"/>
            </w:tcMar>
          </w:tcPr>
          <w:p>
            <w:pPr>
              <w:spacing w:after="40" w:before="40"/>
            </w:pPr>
            <w:r>
              <w:rPr>
                <w:rFonts w:ascii="Segoe UI" w:hAnsi="Segoe UI"/>
                <w:color w:val="212121"/>
                <w:sz w:val="18"/>
              </w:rPr>
              <w:t>Phương tiện &amp; Đội xe hỗn hợp</w:t>
            </w:r>
          </w:p>
        </w:tc>
        <w:tc>
          <w:tcPr>
            <w:tcW w:type="dxa" w:w="3216"/>
            <w:shd w:fill="F5F5F5"/>
            <w:tcMar>
              <w:top w:w="80" w:type="dxa"/>
              <w:bottom w:w="80" w:type="dxa"/>
              <w:left w:w="100" w:type="dxa"/>
              <w:right w:w="100" w:type="dxa"/>
            </w:tcMar>
          </w:tcPr>
          <w:p>
            <w:pPr>
              <w:spacing w:after="40" w:before="40"/>
            </w:pPr>
            <w:r>
              <w:rPr>
                <w:rFonts w:ascii="Segoe UI" w:hAnsi="Segoe UI"/>
                <w:color w:val="212121"/>
                <w:sz w:val="18"/>
              </w:rPr>
              <w:t>Cont 40ft (18T danh định) chở lô xuất khẩu chính. Vải dư lẻ (LTL) cần xe tải lạnh nhỏ 5T để giải tỏa gom hàng kịp thời.</w:t>
            </w:r>
          </w:p>
        </w:tc>
        <w:tc>
          <w:tcPr>
            <w:tcW w:type="dxa" w:w="3216"/>
            <w:shd w:fill="F5F5F5"/>
            <w:tcMar>
              <w:top w:w="80" w:type="dxa"/>
              <w:bottom w:w="80" w:type="dxa"/>
              <w:left w:w="100" w:type="dxa"/>
              <w:right w:w="100" w:type="dxa"/>
            </w:tcMar>
          </w:tcPr>
          <w:p>
            <w:pPr>
              <w:spacing w:after="40" w:before="40"/>
            </w:pPr>
            <w:r>
              <w:rPr>
                <w:rFonts w:ascii="Segoe UI" w:hAnsi="Segoe UI"/>
                <w:color w:val="212121"/>
                <w:sz w:val="18"/>
              </w:rPr>
              <w:t>Định mức hữu dụng: Tải trọng danh định × 0.96 (chừa 4% gió lạnh tuần hoàn). Cont 40ft = 17.28T (1,308 chuyến); Xe 5T = 4.80T (219 chuyến gom hàng lẻ).</w:t>
            </w:r>
          </w:p>
        </w:tc>
      </w:tr>
      <w:tr>
        <w:tc>
          <w:tcPr>
            <w:tcW w:type="dxa" w:w="3216"/>
            <w:shd w:fill="FFFFFF"/>
            <w:tcMar>
              <w:top w:w="80" w:type="dxa"/>
              <w:bottom w:w="80" w:type="dxa"/>
              <w:left w:w="100" w:type="dxa"/>
              <w:right w:w="100" w:type="dxa"/>
            </w:tcMar>
          </w:tcPr>
          <w:p>
            <w:pPr>
              <w:spacing w:after="40" w:before="40"/>
            </w:pPr>
            <w:r>
              <w:rPr>
                <w:rFonts w:ascii="Segoe UI" w:hAnsi="Segoe UI"/>
                <w:color w:val="212121"/>
                <w:sz w:val="18"/>
              </w:rPr>
              <w:t>Giá cước vận tải</w:t>
            </w:r>
          </w:p>
        </w:tc>
        <w:tc>
          <w:tcPr>
            <w:tcW w:type="dxa" w:w="3216"/>
            <w:shd w:fill="FFFFFF"/>
            <w:tcMar>
              <w:top w:w="80" w:type="dxa"/>
              <w:bottom w:w="80" w:type="dxa"/>
              <w:left w:w="100" w:type="dxa"/>
              <w:right w:w="100" w:type="dxa"/>
            </w:tcMar>
          </w:tcPr>
          <w:p>
            <w:pPr>
              <w:spacing w:after="40" w:before="40"/>
            </w:pPr>
            <w:r>
              <w:rPr>
                <w:rFonts w:ascii="Segoe UI" w:hAnsi="Segoe UI"/>
                <w:color w:val="212121"/>
                <w:sz w:val="18"/>
              </w:rPr>
              <w:t>Cont 40ft: ngày thường 9.000.000 VNĐ; cao điểm cháy xe tăng 30% = 11.700.000 VNĐ. Xe 5T: thường 3.500.000 VNĐ, cao điểm 4.550.000 VNĐ.</w:t>
            </w:r>
          </w:p>
        </w:tc>
        <w:tc>
          <w:tcPr>
            <w:tcW w:type="dxa" w:w="3216"/>
            <w:shd w:fill="FFFFFF"/>
            <w:tcMar>
              <w:top w:w="80" w:type="dxa"/>
              <w:bottom w:w="80" w:type="dxa"/>
              <w:left w:w="100" w:type="dxa"/>
              <w:right w:w="100" w:type="dxa"/>
            </w:tcMar>
          </w:tcPr>
          <w:p>
            <w:pPr>
              <w:spacing w:after="40" w:before="40"/>
            </w:pPr>
            <w:r>
              <w:rPr>
                <w:rFonts w:ascii="Segoe UI" w:hAnsi="Segoe UI"/>
                <w:color w:val="212121"/>
                <w:sz w:val="18"/>
              </w:rPr>
              <w:t>Áp dụng giá cước phân tầng theo điều kiện thời tiết (Temp &gt;= 34°C) hoặc ngày cao điểm gom hàng (PeakDay = 1).</w:t>
            </w:r>
          </w:p>
        </w:tc>
      </w:tr>
      <w:tr>
        <w:tc>
          <w:tcPr>
            <w:tcW w:type="dxa" w:w="3216"/>
            <w:shd w:fill="F5F5F5"/>
            <w:tcMar>
              <w:top w:w="80" w:type="dxa"/>
              <w:bottom w:w="80" w:type="dxa"/>
              <w:left w:w="100" w:type="dxa"/>
              <w:right w:w="100" w:type="dxa"/>
            </w:tcMar>
          </w:tcPr>
          <w:p>
            <w:pPr>
              <w:spacing w:after="40" w:before="40"/>
            </w:pPr>
            <w:r>
              <w:rPr>
                <w:rFonts w:ascii="Segoe UI" w:hAnsi="Segoe UI"/>
                <w:color w:val="212121"/>
                <w:sz w:val="18"/>
              </w:rPr>
              <w:t>Tỷ lệ cọc &amp; Hủy chuyến</w:t>
            </w:r>
          </w:p>
        </w:tc>
        <w:tc>
          <w:tcPr>
            <w:tcW w:type="dxa" w:w="3216"/>
            <w:shd w:fill="F5F5F5"/>
            <w:tcMar>
              <w:top w:w="80" w:type="dxa"/>
              <w:bottom w:w="80" w:type="dxa"/>
              <w:left w:w="100" w:type="dxa"/>
              <w:right w:w="100" w:type="dxa"/>
            </w:tcMar>
          </w:tcPr>
          <w:p>
            <w:pPr>
              <w:spacing w:after="40" w:before="40"/>
            </w:pPr>
            <w:r>
              <w:rPr>
                <w:rFonts w:ascii="Segoe UI" w:hAnsi="Segoe UI"/>
                <w:color w:val="212121"/>
                <w:sz w:val="18"/>
              </w:rPr>
              <w:t>Đặt trước phải cọc giữ chỗ 20% giá cước. Nếu xe đến bãi mà không có hàng thì bồi thường xe chạy rỗng 30% tiền dầu.</w:t>
            </w:r>
          </w:p>
        </w:tc>
        <w:tc>
          <w:tcPr>
            <w:tcW w:type="dxa" w:w="3216"/>
            <w:shd w:fill="F5F5F5"/>
            <w:tcMar>
              <w:top w:w="80" w:type="dxa"/>
              <w:bottom w:w="80" w:type="dxa"/>
              <w:left w:w="100" w:type="dxa"/>
              <w:right w:w="100" w:type="dxa"/>
            </w:tcMar>
          </w:tcPr>
          <w:p>
            <w:pPr>
              <w:spacing w:after="40" w:before="40"/>
            </w:pPr>
            <w:r>
              <w:rPr>
                <w:rFonts w:ascii="Segoe UI" w:hAnsi="Segoe UI"/>
                <w:color w:val="212121"/>
                <w:sz w:val="18"/>
              </w:rPr>
              <w:t>Cọc giữ chỗ Lớp 2: 20% (1.8tr thường, 2.34tr cao điểm). Phạt rỗng tại bãi (C_over): 30% cước Cont 40ft (2.7 triệu VNĐ).</w:t>
            </w:r>
          </w:p>
        </w:tc>
      </w:tr>
      <w:tr>
        <w:tc>
          <w:tcPr>
            <w:tcW w:type="dxa" w:w="3216"/>
            <w:shd w:fill="FFFFFF"/>
            <w:tcMar>
              <w:top w:w="80" w:type="dxa"/>
              <w:bottom w:w="80" w:type="dxa"/>
              <w:left w:w="100" w:type="dxa"/>
              <w:right w:w="100" w:type="dxa"/>
            </w:tcMar>
          </w:tcPr>
          <w:p>
            <w:pPr>
              <w:spacing w:after="40" w:before="40"/>
            </w:pPr>
            <w:r>
              <w:rPr>
                <w:rFonts w:ascii="Segoe UI" w:hAnsi="Segoe UI"/>
                <w:color w:val="212121"/>
                <w:sz w:val="18"/>
              </w:rPr>
              <w:t>Tần suất thiếu xe</w:t>
            </w:r>
          </w:p>
        </w:tc>
        <w:tc>
          <w:tcPr>
            <w:tcW w:type="dxa" w:w="3216"/>
            <w:shd w:fill="FFFFFF"/>
            <w:tcMar>
              <w:top w:w="80" w:type="dxa"/>
              <w:bottom w:w="80" w:type="dxa"/>
              <w:left w:w="100" w:type="dxa"/>
              <w:right w:w="100" w:type="dxa"/>
            </w:tcMar>
          </w:tcPr>
          <w:p>
            <w:pPr>
              <w:spacing w:after="40" w:before="40"/>
            </w:pPr>
            <w:r>
              <w:rPr>
                <w:rFonts w:ascii="Segoe UI" w:hAnsi="Segoe UI"/>
                <w:color w:val="212121"/>
                <w:sz w:val="18"/>
              </w:rPr>
              <w:t>Khoảng 50% thời điểm cao điểm gặp khó khăn trong tìm xe do phụ thuộc kích thước thùng.</w:t>
            </w:r>
          </w:p>
        </w:tc>
        <w:tc>
          <w:tcPr>
            <w:tcW w:type="dxa" w:w="3216"/>
            <w:shd w:fill="FFFFFF"/>
            <w:tcMar>
              <w:top w:w="80" w:type="dxa"/>
              <w:bottom w:w="80" w:type="dxa"/>
              <w:left w:w="100" w:type="dxa"/>
              <w:right w:w="100" w:type="dxa"/>
            </w:tcMar>
          </w:tcPr>
          <w:p>
            <w:pPr>
              <w:spacing w:after="40" w:before="40"/>
            </w:pPr>
            <w:r>
              <w:rPr>
                <w:rFonts w:ascii="Segoe UI" w:hAnsi="Segoe UI"/>
                <w:color w:val="212121"/>
                <w:sz w:val="18"/>
              </w:rPr>
              <w:t>FrostLink thiết lập Lớp 3 (Spot buffer) bù xe giao ngay, triệt tiêu 100% tình trạng thiếu xe (C_under = 0 VNĐ).</w:t>
            </w:r>
          </w:p>
        </w:tc>
      </w:tr>
    </w:tbl>
    <w:p>
      <w:pPr>
        <w:spacing w:after="120"/>
      </w:pPr>
    </w:p>
    <w:p>
      <w:pPr>
        <w:keepNext/>
        <w:spacing w:before="320" w:after="120"/>
      </w:pPr>
      <w:r>
        <w:rPr>
          <w:rFonts w:ascii="Segoe UI" w:hAnsi="Segoe UI"/>
          <w:b/>
          <w:color w:val="1565C0"/>
          <w:sz w:val="29"/>
        </w:rPr>
        <w:t>2. CƠ CHẾ TOÁN HỌC &amp; CÔNG THỨC CHUYỂN ĐỔI TÁC NGHIỆP</w:t>
      </w:r>
    </w:p>
    <w:p>
      <w:pPr>
        <w:keepNext/>
        <w:spacing w:before="240" w:after="80"/>
      </w:pPr>
      <w:r>
        <w:rPr>
          <w:rFonts w:ascii="Segoe UI" w:hAnsi="Segoe UI"/>
          <w:b/>
          <w:color w:val="0D47A1"/>
          <w:sz w:val="24"/>
        </w:rPr>
        <w:t>2.1. Hàm Kinh tế lượng Dự báo Sản lượng thu hoạch (Y_t)</w:t>
      </w:r>
    </w:p>
    <w:p>
      <w:pPr>
        <w:spacing w:after="100" w:line="276" w:lineRule="auto"/>
      </w:pPr>
      <w:r>
        <w:rPr>
          <w:rFonts w:ascii="Segoe UI" w:hAnsi="Segoe UI"/>
          <w:i w:val="0"/>
          <w:color w:val="212121"/>
          <w:sz w:val="21"/>
        </w:rPr>
        <w:t>Phương pháp tiếp cận dựa trên mô hình hồi quy kinh tế lượng đa biến có thể giải thích được hệ số tác động biên (Marginal Effects):</w:t>
      </w:r>
    </w:p>
    <w:p>
      <w:pPr>
        <w:spacing w:before="80" w:after="120"/>
        <w:jc w:val="center"/>
      </w:pPr>
      <m:oMathPara>
        <m:oMath>
          <m:sSub>
            <m:e>
              <m:acc>
                <m:accPr>
                  <m:chr m:val="^"/>
                </m:accPr>
                <m:e>
                  <m:r>
                    <m:rPr>
                      <m:sty m:val="i"/>
                    </m:rPr>
                    <m:t>Y</m:t>
                  </m:r>
                </m:e>
              </m:acc>
            </m:e>
            <m:sub>
              <m:r>
                <m:rPr>
                  <m:sty m:val="i"/>
                </m:rPr>
                <m:t>t</m:t>
              </m:r>
            </m:sub>
          </m:sSub>
          <m:r>
            <m:t> = </m:t>
          </m:r>
          <m:sSub>
            <m:e>
              <m:r>
                <m:t>β</m:t>
              </m:r>
            </m:e>
            <m:sub>
              <m:r>
                <m:t>0</m:t>
              </m:r>
            </m:sub>
          </m:sSub>
          <m:r>
            <m:t> + </m:t>
          </m:r>
          <m:sSub>
            <m:e>
              <m:r>
                <m:t>β</m:t>
              </m:r>
            </m:e>
            <m:sub>
              <m:r>
                <m:t>1</m:t>
              </m:r>
            </m:sub>
          </m:sSub>
          <m:r>
            <m:t>·</m:t>
          </m:r>
          <m:sSub>
            <m:e>
              <m:r>
                <m:t>Temp</m:t>
              </m:r>
            </m:e>
            <m:sub>
              <m:r>
                <m:rPr>
                  <m:sty m:val="i"/>
                </m:rPr>
                <m:t>t</m:t>
              </m:r>
            </m:sub>
          </m:sSub>
          <m:r>
            <m:t> - </m:t>
          </m:r>
          <m:sSub>
            <m:e>
              <m:r>
                <m:t>β</m:t>
              </m:r>
            </m:e>
            <m:sub>
              <m:r>
                <m:t>2</m:t>
              </m:r>
            </m:sub>
          </m:sSub>
          <m:r>
            <m:t>·</m:t>
          </m:r>
          <m:sSub>
            <m:e>
              <m:r>
                <m:t>Rain</m:t>
              </m:r>
            </m:e>
            <m:sub>
              <m:r>
                <m:rPr>
                  <m:sty m:val="i"/>
                </m:rPr>
                <m:t>t</m:t>
              </m:r>
            </m:sub>
          </m:sSub>
          <m:r>
            <m:t> + </m:t>
          </m:r>
          <m:sSub>
            <m:e>
              <m:r>
                <m:t>β</m:t>
              </m:r>
            </m:e>
            <m:sub>
              <m:r>
                <m:t>3</m:t>
              </m:r>
            </m:sub>
          </m:sSub>
          <m:r>
            <m:t>·</m:t>
          </m:r>
          <m:sSub>
            <m:e>
              <m:r>
                <m:t>Ripe</m:t>
              </m:r>
            </m:e>
            <m:sub>
              <m:r>
                <m:rPr>
                  <m:sty m:val="i"/>
                </m:rPr>
                <m:t>t</m:t>
              </m:r>
            </m:sub>
          </m:sSub>
          <m:r>
            <m:t> + </m:t>
          </m:r>
          <m:sSub>
            <m:e>
              <m:r>
                <m:t>β</m:t>
              </m:r>
            </m:e>
            <m:sub>
              <m:r>
                <m:t>4</m:t>
              </m:r>
            </m:sub>
          </m:sSub>
          <m:r>
            <m:t>·</m:t>
          </m:r>
          <m:sSub>
            <m:e>
              <m:r>
                <m:t>Order</m:t>
              </m:r>
            </m:e>
            <m:sub>
              <m:r>
                <m:rPr>
                  <m:sty m:val="i"/>
                </m:rPr>
                <m:t>t</m:t>
              </m:r>
            </m:sub>
          </m:sSub>
          <m:r>
            <m:t> + </m:t>
          </m:r>
          <m:sSub>
            <m:e>
              <m:r>
                <m:t>β</m:t>
              </m:r>
            </m:e>
            <m:sub>
              <m:r>
                <m:t>5</m:t>
              </m:r>
            </m:sub>
          </m:sSub>
          <m:r>
            <m:t>·</m:t>
          </m:r>
          <m:sSub>
            <m:e>
              <m:r>
                <m:t>PeakDay</m:t>
              </m:r>
            </m:e>
            <m:sub>
              <m:r>
                <m:rPr>
                  <m:sty m:val="i"/>
                </m:rPr>
                <m:t>t</m:t>
              </m:r>
            </m:sub>
          </m:sSub>
          <m:r>
            <m:t> + </m:t>
          </m:r>
          <m:sSub>
            <m:e>
              <m:r>
                <m:t>ε</m:t>
              </m:r>
            </m:e>
            <m:sub>
              <m:r>
                <m:rPr>
                  <m:sty m:val="i"/>
                </m:rPr>
                <m:t>t</m:t>
              </m:r>
            </m:sub>
          </m:sSub>
        </m:oMath>
      </m:oMathPara>
    </w:p>
    <w:p>
      <w:pPr>
        <w:spacing w:after="100" w:line="276" w:lineRule="auto"/>
      </w:pPr>
      <w:r>
        <w:rPr>
          <w:rFonts w:ascii="Segoe UI" w:hAnsi="Segoe UI"/>
          <w:i w:val="0"/>
          <w:color w:val="212121"/>
          <w:sz w:val="21"/>
        </w:rPr>
        <w:t>Phương trình Hồi quy OLS thực nghiệm huấn luyện trên bộ dữ liệu toàn vụ 92 ngày:</w:t>
      </w:r>
    </w:p>
    <w:p>
      <w:pPr>
        <w:spacing w:before="80" w:after="160"/>
        <w:jc w:val="center"/>
      </w:pPr>
      <m:oMathPara>
        <m:oMath>
          <m:sSub>
            <m:e>
              <m:acc>
                <m:accPr>
                  <m:chr m:val="^"/>
                </m:accPr>
                <m:e>
                  <m:r>
                    <m:rPr>
                      <m:sty m:val="i"/>
                    </m:rPr>
                    <m:t>Y</m:t>
                  </m:r>
                </m:e>
              </m:acc>
            </m:e>
            <m:sub>
              <m:r>
                <m:rPr>
                  <m:sty m:val="i"/>
                </m:rPr>
                <m:t>t</m:t>
              </m:r>
            </m:sub>
          </m:sSub>
          <m:r>
            <m:t> = -22.05 + 1.60·</m:t>
          </m:r>
          <m:sSub>
            <m:e>
              <m:r>
                <m:t>Temp</m:t>
              </m:r>
            </m:e>
            <m:sub>
              <m:r>
                <m:rPr>
                  <m:sty m:val="i"/>
                </m:rPr>
                <m:t>t</m:t>
              </m:r>
            </m:sub>
          </m:sSub>
          <m:r>
            <m:t> - 2.84·</m:t>
          </m:r>
          <m:sSub>
            <m:e>
              <m:r>
                <m:t>Rain</m:t>
              </m:r>
            </m:e>
            <m:sub>
              <m:r>
                <m:rPr>
                  <m:sty m:val="i"/>
                </m:rPr>
                <m:t>t</m:t>
              </m:r>
            </m:sub>
          </m:sSub>
          <m:r>
            <m:t> + 45.80·</m:t>
          </m:r>
          <m:sSub>
            <m:e>
              <m:r>
                <m:t>Ripe</m:t>
              </m:r>
            </m:e>
            <m:sub>
              <m:r>
                <m:rPr>
                  <m:sty m:val="i"/>
                </m:rPr>
                <m:t>t</m:t>
              </m:r>
            </m:sub>
          </m:sSub>
          <m:r>
            <m:t> + 0.85·</m:t>
          </m:r>
          <m:sSub>
            <m:e>
              <m:r>
                <m:t>Order</m:t>
              </m:r>
            </m:e>
            <m:sub>
              <m:r>
                <m:rPr>
                  <m:sty m:val="i"/>
                </m:rPr>
                <m:t>t</m:t>
              </m:r>
            </m:sub>
          </m:sSub>
          <m:r>
            <m:t> + 10.76·</m:t>
          </m:r>
          <m:sSub>
            <m:e>
              <m:r>
                <m:t>PeakDay</m:t>
              </m:r>
            </m:e>
            <m:sub>
              <m:r>
                <m:rPr>
                  <m:sty m:val="i"/>
                </m:rPr>
                <m:t>t</m:t>
              </m:r>
            </m:sub>
          </m:sSub>
          <m:r>
            <m:t>   (</m:t>
          </m:r>
          <m:sSup>
            <m:e>
              <m:r>
                <m:rPr>
                  <m:sty m:val="i"/>
                </m:rPr>
                <m:t>R</m:t>
              </m:r>
            </m:e>
            <m:sup>
              <m:r>
                <m:t>2</m:t>
              </m:r>
            </m:sup>
          </m:sSup>
          <m:r>
            <m:t> = 0.983)</m:t>
          </m:r>
        </m:oMath>
      </m:oMathPara>
    </w:p>
    <w:p>
      <w:pPr>
        <w:keepNext/>
        <w:spacing w:before="240" w:after="80"/>
      </w:pPr>
      <w:r>
        <w:rPr>
          <w:rFonts w:ascii="Segoe UI" w:hAnsi="Segoe UI"/>
          <w:b/>
          <w:color w:val="0D47A1"/>
          <w:sz w:val="24"/>
        </w:rPr>
        <w:t>2.2. Quy đổi Tác nghiệp Đội xe Hỗn hợp: Cont 40ft &amp; Xe 5T (C_eff = C_nom × 0.96)</w:t>
      </w:r>
    </w:p>
    <w:p>
      <w:pPr>
        <w:spacing w:after="100" w:line="276" w:lineRule="auto"/>
      </w:pPr>
      <w:r>
        <w:rPr>
          <w:rFonts w:ascii="Segoe UI" w:hAnsi="Segoe UI"/>
          <w:i w:val="0"/>
          <w:color w:val="212121"/>
          <w:sz w:val="21"/>
        </w:rPr>
        <w:t>Thay vì ép toàn bộ sản lượng vào container 40ft dẫn đến lãng phí diện tích và đội chi phí cước khi chỉ thừa vài tấn vải lẻ, FrostLink xây dựng cơ chế điều phối đội xe hỗn hợp (Mixed Fleet). Định mức tải trọng hữu dụng tuân thủ tiêu chuẩn kỹ thuật hàng lạnh: Tải trọng hữu dụng = Tải trọng danh định × 0.96 (chừa 4% dung tích tuần hoàn khí lạnh theo khảo sát Treviet):</w:t>
      </w:r>
    </w:p>
    <w:p>
      <w:pPr>
        <w:spacing w:before="80" w:after="160"/>
        <w:jc w:val="center"/>
      </w:pPr>
      <m:oMathPara>
        <m:oMath>
          <m:sSub>
            <m:e>
              <m:r>
                <m:rPr>
                  <m:sty m:val="i"/>
                </m:rPr>
                <m:t>N</m:t>
              </m:r>
            </m:e>
            <m:sub>
              <m:r>
                <m:t>cont40,t</m:t>
              </m:r>
            </m:sub>
          </m:sSub>
          <m:r>
            <m:t> = </m:t>
          </m:r>
          <m:d>
            <m:dPr>
              <m:begChr m:val="⌊"/>
              <m:endChr m:val="⌋"/>
            </m:dPr>
            <m:e>
              <m:f>
                <m:num>
                  <m:sSub>
                    <m:e>
                      <m:r>
                        <m:rPr>
                          <m:sty m:val="i"/>
                        </m:rPr>
                        <m:t>Y</m:t>
                      </m:r>
                    </m:e>
                    <m:sub>
                      <m:r>
                        <m:rPr>
                          <m:sty m:val="i"/>
                        </m:rPr>
                        <m:t>t</m:t>
                      </m:r>
                    </m:sub>
                  </m:sSub>
                  <m:r>
                    <m:t> × </m:t>
                  </m:r>
                  <m:sSub>
                    <m:e>
                      <m:r>
                        <m:t>α</m:t>
                      </m:r>
                    </m:e>
                    <m:sub>
                      <m:r>
                        <m:rPr>
                          <m:sty m:val="i"/>
                        </m:rPr>
                        <m:t>t</m:t>
                      </m:r>
                    </m:sub>
                  </m:sSub>
                </m:num>
                <m:den>
                  <m:r>
                    <m:t>18 × 0.96</m:t>
                  </m:r>
                </m:den>
              </m:f>
            </m:e>
          </m:d>
          <m:r>
            <m:t>       |       </m:t>
          </m:r>
          <m:sSub>
            <m:e>
              <m:r>
                <m:rPr>
                  <m:sty m:val="i"/>
                </m:rPr>
                <m:t>N</m:t>
              </m:r>
            </m:e>
            <m:sub>
              <m:r>
                <m:t>truck5,t</m:t>
              </m:r>
            </m:sub>
          </m:sSub>
          <m:r>
            <m:t> = </m:t>
          </m:r>
          <m:d>
            <m:dPr>
              <m:begChr m:val="⌈"/>
              <m:endChr m:val="⌉"/>
            </m:dPr>
            <m:e>
              <m:f>
                <m:num>
                  <m:sSub>
                    <m:e>
                      <m:r>
                        <m:rPr>
                          <m:sty m:val="i"/>
                        </m:rPr>
                        <m:t>Y</m:t>
                      </m:r>
                    </m:e>
                    <m:sub>
                      <m:r>
                        <m:t>rem,t</m:t>
                      </m:r>
                    </m:sub>
                  </m:sSub>
                </m:num>
                <m:den>
                  <m:r>
                    <m:t>5 × 0.96</m:t>
                  </m:r>
                </m:den>
              </m:f>
            </m:e>
          </m:d>
        </m:oMath>
      </m:oMathPara>
    </w:p>
    <w:p>
      <w:pPr>
        <w:spacing w:after="100" w:line="276" w:lineRule="auto"/>
      </w:pPr>
      <w:r>
        <w:rPr>
          <w:rFonts w:ascii="Segoe UI" w:hAnsi="Segoe UI"/>
          <w:i w:val="0"/>
          <w:color w:val="212121"/>
          <w:sz w:val="21"/>
        </w:rPr>
        <w:t>Trong đó:</w:t>
        <w:br/>
        <w:t>• α_t là tỷ lệ vải đạt tiêu chuẩn xuất khẩu đi chuỗi lạnh (80% ngày thường, 85% ngày cao điểm).</w:t>
        <w:br/>
        <w:t>• C_eff,40 = 18 × 0.96 = 17.28 Tấn/cont: Tải trọng hữu dụng của Container 40 feet (chứa trọn lô xuất khẩu lớn).</w:t>
        <w:br/>
        <w:t>• Y_rem,t = (Y_t × α_t) mod 17.28 (Tấn): Lượng vải dư lẻ cuối ngày sau khi đã đóng kín các container 40ft.</w:t>
        <w:br/>
        <w:t>• C_eff,5 = 5 × 0.96 = 4.80 Tấn/xe: Tải trọng hữu dụng xe tải lạnh 5T (chuyên chở gom vét hàng lẻ LTL với cước phí chỉ 3.5tr so với 9tr của Cont 40ft, tiết kiệm hàng trăm triệu đồng cho HTX).</w:t>
      </w:r>
    </w:p>
    <w:p>
      <w:pPr>
        <w:keepNext/>
        <w:spacing w:before="240" w:after="80"/>
      </w:pPr>
      <w:r>
        <w:rPr>
          <w:rFonts w:ascii="Segoe UI" w:hAnsi="Segoe UI"/>
          <w:b/>
          <w:color w:val="0D47A1"/>
          <w:sz w:val="24"/>
        </w:rPr>
        <w:t>2.3. Công thức Phân bổ 3 Lớp Công suất (3-Tier Capacity Booking)</w:t>
      </w:r>
    </w:p>
    <w:p>
      <w:pPr>
        <w:spacing w:after="100" w:line="276" w:lineRule="auto"/>
      </w:pPr>
      <w:r>
        <w:rPr>
          <w:rFonts w:ascii="Segoe UI" w:hAnsi="Segoe UI"/>
          <w:i w:val="0"/>
          <w:color w:val="212121"/>
          <w:sz w:val="21"/>
        </w:rPr>
        <w:t>Thuật toán tự động phân bổ rổ công suất cho các container 40ft:</w:t>
      </w:r>
    </w:p>
    <w:p>
      <w:pPr>
        <w:spacing w:before="80" w:after="160"/>
        <w:jc w:val="center"/>
      </w:pPr>
      <m:oMathPara>
        <m:oMath>
          <m:sSub>
            <m:e>
              <m:r>
                <m:rPr>
                  <m:sty m:val="i"/>
                </m:rPr>
                <m:t>N</m:t>
              </m:r>
            </m:e>
            <m:sub>
              <m:r>
                <m:t>1,t</m:t>
              </m:r>
            </m:sub>
          </m:sSub>
          <m:r>
            <m:t> = round(</m:t>
          </m:r>
          <m:sSub>
            <m:e>
              <m:r>
                <m:rPr>
                  <m:sty m:val="i"/>
                </m:rPr>
                <m:t>N</m:t>
              </m:r>
            </m:e>
            <m:sub>
              <m:r>
                <m:t>pred,t</m:t>
              </m:r>
            </m:sub>
          </m:sSub>
          <m:r>
            <m:t> × 70%),   </m:t>
          </m:r>
          <m:sSub>
            <m:e>
              <m:r>
                <m:rPr>
                  <m:sty m:val="i"/>
                </m:rPr>
                <m:t>N</m:t>
              </m:r>
            </m:e>
            <m:sub>
              <m:r>
                <m:t>2,t</m:t>
              </m:r>
            </m:sub>
          </m:sSub>
          <m:r>
            <m:t> = min(⌈</m:t>
          </m:r>
          <m:sSub>
            <m:e>
              <m:r>
                <m:rPr>
                  <m:sty m:val="i"/>
                </m:rPr>
                <m:t>N</m:t>
              </m:r>
            </m:e>
            <m:sub>
              <m:r>
                <m:t>pred,t</m:t>
              </m:r>
            </m:sub>
          </m:sSub>
          <m:r>
            <m:t> × 20%⌉, max(0, </m:t>
          </m:r>
          <m:sSub>
            <m:e>
              <m:r>
                <m:rPr>
                  <m:sty m:val="i"/>
                </m:rPr>
                <m:t>N</m:t>
              </m:r>
            </m:e>
            <m:sub>
              <m:r>
                <m:t>pred,t</m:t>
              </m:r>
            </m:sub>
          </m:sSub>
          <m:r>
            <m:t> - </m:t>
          </m:r>
          <m:sSub>
            <m:e>
              <m:r>
                <m:rPr>
                  <m:sty m:val="i"/>
                </m:rPr>
                <m:t>N</m:t>
              </m:r>
            </m:e>
            <m:sub>
              <m:r>
                <m:t>1,t</m:t>
              </m:r>
            </m:sub>
          </m:sSub>
          <m:r>
            <m:t>))</m:t>
          </m:r>
        </m:oMath>
      </m:oMathPara>
    </w:p>
    <w:p>
      <w:pPr>
        <w:keepNext/>
        <w:spacing w:before="320" w:after="120"/>
      </w:pPr>
      <w:r>
        <w:rPr>
          <w:rFonts w:ascii="Segoe UI" w:hAnsi="Segoe UI"/>
          <w:b/>
          <w:color w:val="1565C0"/>
          <w:sz w:val="29"/>
        </w:rPr>
        <w:t>3. NGUYÊN LÝ QUẢN TRỊ RỦI RO NEWSVENDOR &amp; BỘ THAM SỐ TÀI CHÍNH</w:t>
      </w:r>
    </w:p>
    <w:p>
      <w:pPr>
        <w:spacing w:after="100" w:line="276" w:lineRule="auto"/>
      </w:pPr>
      <w:r>
        <w:rPr>
          <w:rFonts w:ascii="Segoe UI" w:hAnsi="Segoe UI"/>
          <w:i w:val="0"/>
          <w:color w:val="212121"/>
          <w:sz w:val="21"/>
        </w:rPr>
        <w:t>Mô hình lượng hóa tổn thất dựa trên lý thuyết Bài toán người bán báo (Newsvendor Model):</w:t>
      </w:r>
    </w:p>
    <w:p>
      <w:pPr>
        <w:spacing w:before="80" w:after="160"/>
        <w:jc w:val="center"/>
      </w:pPr>
      <m:oMathPara>
        <m:oMath>
          <m:r>
            <m:rPr>
              <m:sty m:val="p"/>
            </m:rPr>
            <m:t>Total_Cost</m:t>
          </m:r>
          <m:r>
            <m:t> = </m:t>
          </m:r>
          <m:nary>
            <m:naryPr>
              <m:chr m:val="∑"/>
              <m:limLoc m:val="undOvr"/>
            </m:naryPr>
            <m:sub>
              <m:r>
                <m:rPr>
                  <m:sty m:val="i"/>
                </m:rPr>
                <m:t>t</m:t>
              </m:r>
              <m:r>
                <m:t>=1</m:t>
              </m:r>
            </m:sub>
            <m:sup>
              <m:r>
                <m:rPr>
                  <m:sty m:val="i"/>
                </m:rPr>
                <m:t>n</m:t>
              </m:r>
            </m:sup>
            <m:e>
              <m:r>
                <m:t>[</m:t>
              </m:r>
              <m:sSub>
                <m:e>
                  <m:r>
                    <m:rPr>
                      <m:sty m:val="i"/>
                    </m:rPr>
                    <m:t>C</m:t>
                  </m:r>
                </m:e>
                <m:sub>
                  <m:r>
                    <m:t>over</m:t>
                  </m:r>
                </m:sub>
              </m:sSub>
              <m:r>
                <m:t>·max(0, </m:t>
              </m:r>
              <m:sSub>
                <m:e>
                  <m:r>
                    <m:rPr>
                      <m:sty m:val="i"/>
                    </m:rPr>
                    <m:t>U</m:t>
                  </m:r>
                </m:e>
                <m:sub>
                  <m:r>
                    <m:rPr>
                      <m:sty m:val="i"/>
                    </m:rPr>
                    <m:t>t</m:t>
                  </m:r>
                </m:sub>
              </m:sSub>
              <m:r>
                <m:t> - </m:t>
              </m:r>
              <m:sSub>
                <m:e>
                  <m:r>
                    <m:rPr>
                      <m:sty m:val="i"/>
                    </m:rPr>
                    <m:t>J</m:t>
                  </m:r>
                </m:e>
                <m:sub>
                  <m:r>
                    <m:rPr>
                      <m:sty m:val="i"/>
                    </m:rPr>
                    <m:t>t</m:t>
                  </m:r>
                </m:sub>
              </m:sSub>
              <m:r>
                <m:t>) + </m:t>
              </m:r>
              <m:sSub>
                <m:e>
                  <m:r>
                    <m:rPr>
                      <m:sty m:val="i"/>
                    </m:rPr>
                    <m:t>C</m:t>
                  </m:r>
                </m:e>
                <m:sub>
                  <m:r>
                    <m:t>under</m:t>
                  </m:r>
                </m:sub>
              </m:sSub>
              <m:r>
                <m:t>·max(0, </m:t>
              </m:r>
              <m:sSub>
                <m:e>
                  <m:r>
                    <m:rPr>
                      <m:sty m:val="i"/>
                    </m:rPr>
                    <m:t>J</m:t>
                  </m:r>
                </m:e>
                <m:sub>
                  <m:r>
                    <m:rPr>
                      <m:sty m:val="i"/>
                    </m:rPr>
                    <m:t>t</m:t>
                  </m:r>
                </m:sub>
              </m:sSub>
              <m:r>
                <m:t> - </m:t>
              </m:r>
              <m:sSub>
                <m:e>
                  <m:r>
                    <m:rPr>
                      <m:sty m:val="i"/>
                    </m:rPr>
                    <m:t>U</m:t>
                  </m:r>
                </m:e>
                <m:sub>
                  <m:r>
                    <m:rPr>
                      <m:sty m:val="i"/>
                    </m:rPr>
                    <m:t>t</m:t>
                  </m:r>
                </m:sub>
              </m:sSub>
              <m:r>
                <m:t>) + </m:t>
              </m:r>
              <m:sSub>
                <m:e>
                  <m:r>
                    <m:t>Penalty</m:t>
                  </m:r>
                </m:e>
                <m:sub>
                  <m:r>
                    <m:t>L2,t</m:t>
                  </m:r>
                </m:sub>
              </m:sSub>
              <m:r>
                <m:t>]</m:t>
              </m:r>
            </m:e>
          </m:nary>
        </m:oMath>
      </m:oMathPara>
    </w:p>
    <w:p>
      <w:pPr>
        <w:spacing w:after="100" w:line="276" w:lineRule="auto"/>
      </w:pPr>
      <w:r>
        <w:rPr>
          <w:rFonts w:ascii="Segoe UI" w:hAnsi="Segoe UI"/>
          <w:b/>
          <w:color w:val="212121"/>
          <w:sz w:val="21"/>
        </w:rPr>
        <w:t xml:space="preserve">Thang bậc rủi ro chi phí: </w:t>
      </w:r>
      <w:r>
        <w:rPr>
          <w:rFonts w:ascii="Segoe UI" w:hAnsi="Segoe UI"/>
          <w:i w:val="0"/>
          <w:color w:val="212121"/>
          <w:sz w:val="21"/>
        </w:rPr>
        <w:t>• Cọc giữ chỗ Lớp 2 (Hủy trước 24h khi có bão mưa &gt; 20mm): 20% giá cước (1.800.000 VNĐ ngày thường, 2.340.000 VNĐ ngày cao điểm).</w:t>
        <w:br/>
        <w:t>• Chi phí thừa xe chạy rỗng (C_over): 2.700.000 VNĐ / cont (Xe đã đến bãi nhưng không có hàng, bồi thường 30% tiền dầu theo thỏa thuận).</w:t>
        <w:br/>
        <w:t>• Chi phí thiếu xe (C_under): 6.000.000 VNĐ / cont (Gồm cước ép giờ cao điểm 2.7tr + mất giá quả vải 3.3tr do phơi nắng chờ xe).</w:t>
        <w:br/>
        <w:t>⇒ Nguyên lý kinh tế cốt lõi: Cọc hủy (1.8tr - 2.34tr) &lt; Phạt xe rỗng + tổn thất thâm vỏ vải (&gt;8.7tr). Cơ chế chủ động hủy slot bảo hiểm rủi ro thời tiết giúp tiết kiệm hàng tỷ đồng cho toàn liên minh HTX.</w:t>
      </w:r>
    </w:p>
    <w:p>
      <w:pPr>
        <w:keepNext/>
        <w:spacing w:before="320" w:after="120"/>
      </w:pPr>
      <w:r>
        <w:rPr>
          <w:rFonts w:ascii="Segoe UI" w:hAnsi="Segoe UI"/>
          <w:b/>
          <w:color w:val="1565C0"/>
          <w:sz w:val="29"/>
        </w:rPr>
        <w:t>4. KẾT QUẢ ĐỐI CHUẨN ĐỊNH LƯỢNG TOÀN VỤ (BENCHMARK 92 NGÀY)</w:t>
      </w:r>
    </w:p>
    <w:p>
      <w:pPr>
        <w:spacing w:before="80" w:after="160"/>
        <w:jc w:val="center"/>
      </w:pPr>
      <m:oMathPara>
        <m:oMath>
          <m:r>
            <m:rPr>
              <m:sty m:val="p"/>
            </m:rPr>
            <m:t>Truck_MAE</m:t>
          </m:r>
          <m:r>
            <m:t> = </m:t>
          </m:r>
          <m:f>
            <m:num>
              <m:r>
                <m:t>1</m:t>
              </m:r>
            </m:num>
            <m:den>
              <m:r>
                <m:rPr>
                  <m:sty m:val="i"/>
                </m:rPr>
                <m:t>n</m:t>
              </m:r>
            </m:den>
          </m:f>
          <m:nary>
            <m:naryPr>
              <m:chr m:val="∑"/>
              <m:limLoc m:val="undOvr"/>
            </m:naryPr>
            <m:sub>
              <m:r>
                <m:rPr>
                  <m:sty m:val="i"/>
                </m:rPr>
                <m:t>t</m:t>
              </m:r>
              <m:r>
                <m:t>=1</m:t>
              </m:r>
            </m:sub>
            <m:sup>
              <m:r>
                <m:rPr>
                  <m:sty m:val="i"/>
                </m:rPr>
                <m:t>n</m:t>
              </m:r>
            </m:sup>
            <m:e>
              <m:d>
                <m:dPr>
                  <m:begChr m:val="|"/>
                  <m:endChr m:val="|"/>
                </m:dPr>
                <m:e>
                  <m:sSub>
                    <m:e>
                      <m:r>
                        <m:rPr>
                          <m:sty m:val="i"/>
                        </m:rPr>
                        <m:t>N</m:t>
                      </m:r>
                    </m:e>
                    <m:sub>
                      <m:r>
                        <m:rPr>
                          <m:sty m:val="i"/>
                        </m:rPr>
                        <m:t>t</m:t>
                      </m:r>
                    </m:sub>
                  </m:sSub>
                  <m:r>
                    <m:t> - </m:t>
                  </m:r>
                  <m:sSub>
                    <m:e>
                      <m:acc>
                        <m:accPr>
                          <m:chr m:val="^"/>
                        </m:accPr>
                        <m:e>
                          <m:r>
                            <m:rPr>
                              <m:sty m:val="i"/>
                            </m:rPr>
                            <m:t>N</m:t>
                          </m:r>
                        </m:e>
                      </m:acc>
                    </m:e>
                    <m:sub>
                      <m:r>
                        <m:rPr>
                          <m:sty m:val="i"/>
                        </m:rPr>
                        <m:t>t</m:t>
                      </m:r>
                    </m:sub>
                  </m:sSub>
                </m:e>
              </m:d>
            </m:e>
          </m:nary>
          <m:r>
            <m:t>       |       </m:t>
          </m:r>
          <m:r>
            <m:rPr>
              <m:sty m:val="p"/>
            </m:rPr>
            <m:t>Truck_WAPE</m:t>
          </m:r>
          <m:r>
            <m:t> = </m:t>
          </m:r>
          <m:f>
            <m:num>
              <m:nary>
                <m:naryPr>
                  <m:chr m:val="∑"/>
                  <m:limLoc m:val="undOvr"/>
                </m:naryPr>
                <m:sub>
                  <m:r>
                    <m:rPr>
                      <m:sty m:val="i"/>
                    </m:rPr>
                    <m:t>t</m:t>
                  </m:r>
                  <m:r>
                    <m:t>=1</m:t>
                  </m:r>
                </m:sub>
                <m:sup>
                  <m:r>
                    <m:rPr>
                      <m:sty m:val="i"/>
                    </m:rPr>
                    <m:t>n</m:t>
                  </m:r>
                </m:sup>
                <m:e>
                  <m:d>
                    <m:dPr>
                      <m:begChr m:val="|"/>
                      <m:endChr m:val="|"/>
                    </m:dPr>
                    <m:e>
                      <m:sSub>
                        <m:e>
                          <m:r>
                            <m:rPr>
                              <m:sty m:val="i"/>
                            </m:rPr>
                            <m:t>N</m:t>
                          </m:r>
                        </m:e>
                        <m:sub>
                          <m:r>
                            <m:rPr>
                              <m:sty m:val="i"/>
                            </m:rPr>
                            <m:t>t</m:t>
                          </m:r>
                        </m:sub>
                      </m:sSub>
                      <m:r>
                        <m:t> - </m:t>
                      </m:r>
                      <m:sSub>
                        <m:e>
                          <m:acc>
                            <m:accPr>
                              <m:chr m:val="^"/>
                            </m:accPr>
                            <m:e>
                              <m:r>
                                <m:rPr>
                                  <m:sty m:val="i"/>
                                </m:rPr>
                                <m:t>N</m:t>
                              </m:r>
                            </m:e>
                          </m:acc>
                        </m:e>
                        <m:sub>
                          <m:r>
                            <m:rPr>
                              <m:sty m:val="i"/>
                            </m:rPr>
                            <m:t>t</m:t>
                          </m:r>
                        </m:sub>
                      </m:sSub>
                    </m:e>
                  </m:d>
                </m:e>
              </m:nary>
            </m:num>
            <m:den>
              <m:nary>
                <m:naryPr>
                  <m:chr m:val="∑"/>
                  <m:limLoc m:val="undOvr"/>
                </m:naryPr>
                <m:sub>
                  <m:r>
                    <m:rPr>
                      <m:sty m:val="i"/>
                    </m:rPr>
                    <m:t>t</m:t>
                  </m:r>
                  <m:r>
                    <m:t>=1</m:t>
                  </m:r>
                </m:sub>
                <m:sup>
                  <m:r>
                    <m:rPr>
                      <m:sty m:val="i"/>
                    </m:rPr>
                    <m:t>n</m:t>
                  </m:r>
                </m:sup>
                <m:e>
                  <m:sSub>
                    <m:e>
                      <m:r>
                        <m:rPr>
                          <m:sty m:val="i"/>
                        </m:rPr>
                        <m:t>N</m:t>
                      </m:r>
                    </m:e>
                    <m:sub>
                      <m:r>
                        <m:rPr>
                          <m:sty m:val="i"/>
                        </m:rPr>
                        <m:t>t</m:t>
                      </m:r>
                    </m:sub>
                  </m:sSub>
                </m:e>
              </m:nary>
            </m:den>
          </m:f>
          <m:r>
            <m:t> × 100%</m:t>
          </m:r>
        </m:oMath>
      </m:oMathPara>
    </w:p>
    <w:p>
      <w:pPr>
        <w:keepNext/>
        <w:spacing w:before="240" w:after="80"/>
      </w:pPr>
      <w:r>
        <w:rPr>
          <w:rFonts w:ascii="Segoe UI" w:hAnsi="Segoe UI"/>
          <w:b/>
          <w:color w:val="0D47A1"/>
          <w:sz w:val="24"/>
        </w:rPr>
        <w:t>4.1. Bảng đối chuẩn hiệu năng các cấp độ mô hình (Benchmark OLS, RF, XGBoost)</w:t>
      </w:r>
    </w:p>
    <w:p>
      <w:pPr>
        <w:spacing w:after="100" w:line="276" w:lineRule="auto"/>
      </w:pPr>
      <w:r>
        <w:rPr>
          <w:rFonts w:ascii="Segoe UI" w:hAnsi="Segoe UI"/>
          <w:i w:val="0"/>
          <w:color w:val="212121"/>
          <w:sz w:val="21"/>
        </w:rPr>
        <w:t>Để chứng minh tính ưu việt của hệ thống dự báo thông minh, đề án tiến hành đối chuẩn 4 cấp độ mô hình trên toàn bộ 92 ngày mùa vụ:</w:t>
      </w:r>
    </w:p>
    <w:tbl>
      <w:tblPr>
        <w:tblW w:type="auto" w:w="0"/>
        <w:jc w:val="center"/>
        <w:tblLayout w:type="fixed"/>
        <w:tblLook w:firstColumn="1" w:firstRow="1" w:lastColumn="0" w:lastRow="0" w:noHBand="0" w:noVBand="1" w:val="04A0"/>
      </w:tblPr>
      <w:tblGrid>
        <w:gridCol w:w="2880"/>
        <w:gridCol w:w="1584"/>
        <w:gridCol w:w="1584"/>
        <w:gridCol w:w="1440"/>
        <w:gridCol w:w="1152"/>
        <w:gridCol w:w="3168"/>
      </w:tblGrid>
      <w:tr>
        <w:tc>
          <w:tcPr>
            <w:tcW w:type="dxa" w:w="1608"/>
            <w:shd w:fill="1565C0"/>
            <w:tcMar>
              <w:top w:w="60" w:type="dxa"/>
              <w:bottom w:w="60" w:type="dxa"/>
              <w:left w:w="80" w:type="dxa"/>
              <w:right w:w="80" w:type="dxa"/>
            </w:tcMar>
          </w:tcPr>
          <w:p>
            <w:pPr>
              <w:spacing w:after="40" w:before="40"/>
            </w:pPr>
            <w:r>
              <w:rPr>
                <w:rFonts w:ascii="Segoe UI" w:hAnsi="Segoe UI"/>
                <w:b/>
                <w:color w:val="FFFFFF"/>
              </w:rPr>
              <w:t>Cấp độ Mô hình</w:t>
            </w:r>
          </w:p>
        </w:tc>
        <w:tc>
          <w:tcPr>
            <w:tcW w:type="dxa" w:w="1608"/>
            <w:shd w:fill="1565C0"/>
            <w:tcMar>
              <w:top w:w="60" w:type="dxa"/>
              <w:bottom w:w="60" w:type="dxa"/>
              <w:left w:w="80" w:type="dxa"/>
              <w:right w:w="80" w:type="dxa"/>
            </w:tcMar>
          </w:tcPr>
          <w:p>
            <w:pPr>
              <w:spacing w:after="40" w:before="40"/>
            </w:pPr>
            <w:r>
              <w:rPr>
                <w:rFonts w:ascii="Segoe UI" w:hAnsi="Segoe UI"/>
                <w:b/>
                <w:color w:val="FFFFFF"/>
              </w:rPr>
              <w:t>MAE Sản lượng</w:t>
            </w:r>
          </w:p>
        </w:tc>
        <w:tc>
          <w:tcPr>
            <w:tcW w:type="dxa" w:w="1608"/>
            <w:shd w:fill="1565C0"/>
            <w:tcMar>
              <w:top w:w="60" w:type="dxa"/>
              <w:bottom w:w="60" w:type="dxa"/>
              <w:left w:w="80" w:type="dxa"/>
              <w:right w:w="80" w:type="dxa"/>
            </w:tcMar>
          </w:tcPr>
          <w:p>
            <w:pPr>
              <w:spacing w:after="40" w:before="40"/>
            </w:pPr>
            <w:r>
              <w:rPr>
                <w:rFonts w:ascii="Segoe UI" w:hAnsi="Segoe UI"/>
                <w:b/>
                <w:color w:val="FFFFFF"/>
              </w:rPr>
              <w:t>Truck MAE</w:t>
            </w:r>
          </w:p>
        </w:tc>
        <w:tc>
          <w:tcPr>
            <w:tcW w:type="dxa" w:w="1608"/>
            <w:shd w:fill="1565C0"/>
            <w:tcMar>
              <w:top w:w="60" w:type="dxa"/>
              <w:bottom w:w="60" w:type="dxa"/>
              <w:left w:w="80" w:type="dxa"/>
              <w:right w:w="80" w:type="dxa"/>
            </w:tcMar>
          </w:tcPr>
          <w:p>
            <w:pPr>
              <w:spacing w:after="40" w:before="40"/>
            </w:pPr>
            <w:r>
              <w:rPr>
                <w:rFonts w:ascii="Segoe UI" w:hAnsi="Segoe UI"/>
                <w:b/>
                <w:color w:val="FFFFFF"/>
              </w:rPr>
              <w:t>Truck WAPE</w:t>
            </w:r>
          </w:p>
        </w:tc>
        <w:tc>
          <w:tcPr>
            <w:tcW w:type="dxa" w:w="1608"/>
            <w:shd w:fill="1565C0"/>
            <w:tcMar>
              <w:top w:w="60" w:type="dxa"/>
              <w:bottom w:w="60" w:type="dxa"/>
              <w:left w:w="80" w:type="dxa"/>
              <w:right w:w="80" w:type="dxa"/>
            </w:tcMar>
          </w:tcPr>
          <w:p>
            <w:pPr>
              <w:spacing w:after="40" w:before="40"/>
            </w:pPr>
            <w:r>
              <w:rPr>
                <w:rFonts w:ascii="Segoe UI" w:hAnsi="Segoe UI"/>
                <w:b/>
                <w:color w:val="FFFFFF"/>
              </w:rPr>
              <w:t>R² Score</w:t>
            </w:r>
          </w:p>
        </w:tc>
        <w:tc>
          <w:tcPr>
            <w:tcW w:type="dxa" w:w="1608"/>
            <w:shd w:fill="1565C0"/>
            <w:tcMar>
              <w:top w:w="60" w:type="dxa"/>
              <w:bottom w:w="60" w:type="dxa"/>
              <w:left w:w="80" w:type="dxa"/>
              <w:right w:w="80" w:type="dxa"/>
            </w:tcMar>
          </w:tcPr>
          <w:p>
            <w:pPr>
              <w:spacing w:after="40" w:before="40"/>
            </w:pPr>
            <w:r>
              <w:rPr>
                <w:rFonts w:ascii="Segoe UI" w:hAnsi="Segoe UI"/>
                <w:b/>
                <w:color w:val="FFFFFF"/>
              </w:rPr>
              <w:t>Ý nghĩa &amp; Vai trò trong Đề án</w:t>
            </w:r>
          </w:p>
        </w:tc>
      </w:tr>
      <w:tr>
        <w:tc>
          <w:tcPr>
            <w:tcW w:type="dxa" w:w="1608"/>
            <w:shd w:fill="F8F9FA"/>
            <w:tcMar>
              <w:top w:w="60" w:type="dxa"/>
              <w:bottom w:w="60" w:type="dxa"/>
              <w:left w:w="80" w:type="dxa"/>
              <w:right w:w="80" w:type="dxa"/>
            </w:tcMar>
          </w:tcPr>
          <w:p>
            <w:pPr>
              <w:spacing w:after="40" w:before="40"/>
            </w:pPr>
            <w:r>
              <w:rPr>
                <w:rFonts w:ascii="Segoe UI" w:hAnsi="Segoe UI"/>
                <w:color w:val="212121"/>
                <w:sz w:val="18"/>
              </w:rPr>
              <w:t>Baseline (Trung bình 3 ngày)</w:t>
            </w:r>
          </w:p>
        </w:tc>
        <w:tc>
          <w:tcPr>
            <w:tcW w:type="dxa" w:w="1608"/>
            <w:shd w:fill="F8F9FA"/>
            <w:tcMar>
              <w:top w:w="60" w:type="dxa"/>
              <w:bottom w:w="60" w:type="dxa"/>
              <w:left w:w="80" w:type="dxa"/>
              <w:right w:w="80" w:type="dxa"/>
            </w:tcMar>
          </w:tcPr>
          <w:p>
            <w:pPr>
              <w:spacing w:after="40" w:before="40"/>
            </w:pPr>
            <w:r>
              <w:rPr>
                <w:rFonts w:ascii="Segoe UI" w:hAnsi="Segoe UI"/>
                <w:color w:val="212121"/>
                <w:sz w:val="18"/>
              </w:rPr>
              <w:t>37.41 Tấn</w:t>
            </w:r>
          </w:p>
        </w:tc>
        <w:tc>
          <w:tcPr>
            <w:tcW w:type="dxa" w:w="1608"/>
            <w:shd w:fill="F8F9FA"/>
            <w:tcMar>
              <w:top w:w="60" w:type="dxa"/>
              <w:bottom w:w="60" w:type="dxa"/>
              <w:left w:w="80" w:type="dxa"/>
              <w:right w:w="80" w:type="dxa"/>
            </w:tcMar>
          </w:tcPr>
          <w:p>
            <w:pPr>
              <w:spacing w:after="40" w:before="40"/>
            </w:pPr>
            <w:r>
              <w:rPr>
                <w:rFonts w:ascii="Segoe UI" w:hAnsi="Segoe UI"/>
                <w:color w:val="212121"/>
                <w:sz w:val="18"/>
              </w:rPr>
              <w:t>2.16 Xe/ngày</w:t>
            </w:r>
          </w:p>
        </w:tc>
        <w:tc>
          <w:tcPr>
            <w:tcW w:type="dxa" w:w="1608"/>
            <w:shd w:fill="F8F9FA"/>
            <w:tcMar>
              <w:top w:w="60" w:type="dxa"/>
              <w:bottom w:w="60" w:type="dxa"/>
              <w:left w:w="80" w:type="dxa"/>
              <w:right w:w="80" w:type="dxa"/>
            </w:tcMar>
          </w:tcPr>
          <w:p>
            <w:pPr>
              <w:spacing w:after="40" w:before="40"/>
            </w:pPr>
            <w:r>
              <w:rPr>
                <w:rFonts w:ascii="Segoe UI" w:hAnsi="Segoe UI"/>
                <w:color w:val="212121"/>
                <w:sz w:val="18"/>
              </w:rPr>
              <w:t>17.92%</w:t>
            </w:r>
          </w:p>
        </w:tc>
        <w:tc>
          <w:tcPr>
            <w:tcW w:type="dxa" w:w="1608"/>
            <w:shd w:fill="F8F9FA"/>
            <w:tcMar>
              <w:top w:w="60" w:type="dxa"/>
              <w:bottom w:w="60" w:type="dxa"/>
              <w:left w:w="80" w:type="dxa"/>
              <w:right w:w="80" w:type="dxa"/>
            </w:tcMar>
          </w:tcPr>
          <w:p>
            <w:pPr>
              <w:spacing w:after="40" w:before="40"/>
            </w:pPr>
            <w:r>
              <w:rPr>
                <w:rFonts w:ascii="Segoe UI" w:hAnsi="Segoe UI"/>
                <w:color w:val="212121"/>
                <w:sz w:val="18"/>
              </w:rPr>
              <w:t>—</w:t>
            </w:r>
          </w:p>
        </w:tc>
        <w:tc>
          <w:tcPr>
            <w:tcW w:type="dxa" w:w="1608"/>
            <w:shd w:fill="F8F9FA"/>
            <w:tcMar>
              <w:top w:w="60" w:type="dxa"/>
              <w:bottom w:w="60" w:type="dxa"/>
              <w:left w:w="80" w:type="dxa"/>
              <w:right w:w="80" w:type="dxa"/>
            </w:tcMar>
          </w:tcPr>
          <w:p>
            <w:pPr>
              <w:spacing w:after="40" w:before="40"/>
            </w:pPr>
            <w:r>
              <w:rPr>
                <w:rFonts w:ascii="Segoe UI" w:hAnsi="Segoe UI"/>
                <w:color w:val="212121"/>
                <w:sz w:val="18"/>
              </w:rPr>
              <w:t>Phương thức thủ công của HTX (trễ pha khi có bão).</w:t>
            </w:r>
          </w:p>
        </w:tc>
      </w:tr>
      <w:tr>
        <w:tc>
          <w:tcPr>
            <w:tcW w:type="dxa" w:w="1608"/>
            <w:shd w:fill="FFFFFF"/>
            <w:tcMar>
              <w:top w:w="60" w:type="dxa"/>
              <w:bottom w:w="60" w:type="dxa"/>
              <w:left w:w="80" w:type="dxa"/>
              <w:right w:w="80" w:type="dxa"/>
            </w:tcMar>
          </w:tcPr>
          <w:p>
            <w:pPr>
              <w:spacing w:after="40" w:before="40"/>
            </w:pPr>
            <w:r>
              <w:rPr>
                <w:rFonts w:ascii="Segoe UI" w:hAnsi="Segoe UI"/>
                <w:color w:val="212121"/>
                <w:sz w:val="18"/>
              </w:rPr>
              <w:t>Hồi quy Đa biến (OLS)</w:t>
            </w:r>
          </w:p>
        </w:tc>
        <w:tc>
          <w:tcPr>
            <w:tcW w:type="dxa" w:w="1608"/>
            <w:shd w:fill="FFFFFF"/>
            <w:tcMar>
              <w:top w:w="60" w:type="dxa"/>
              <w:bottom w:w="60" w:type="dxa"/>
              <w:left w:w="80" w:type="dxa"/>
              <w:right w:w="80" w:type="dxa"/>
            </w:tcMar>
          </w:tcPr>
          <w:p>
            <w:pPr>
              <w:spacing w:after="40" w:before="40"/>
            </w:pPr>
            <w:r>
              <w:rPr>
                <w:rFonts w:ascii="Segoe UI" w:hAnsi="Segoe UI"/>
                <w:color w:val="212121"/>
                <w:sz w:val="18"/>
              </w:rPr>
              <w:t>17.29 Tấn</w:t>
            </w:r>
          </w:p>
        </w:tc>
        <w:tc>
          <w:tcPr>
            <w:tcW w:type="dxa" w:w="1608"/>
            <w:shd w:fill="FFFFFF"/>
            <w:tcMar>
              <w:top w:w="60" w:type="dxa"/>
              <w:bottom w:w="60" w:type="dxa"/>
              <w:left w:w="80" w:type="dxa"/>
              <w:right w:w="80" w:type="dxa"/>
            </w:tcMar>
          </w:tcPr>
          <w:p>
            <w:pPr>
              <w:spacing w:after="40" w:before="40"/>
            </w:pPr>
            <w:r>
              <w:rPr>
                <w:rFonts w:ascii="Segoe UI" w:hAnsi="Segoe UI"/>
                <w:color w:val="212121"/>
                <w:sz w:val="18"/>
              </w:rPr>
              <w:t>0.82 Xe/ngày</w:t>
            </w:r>
          </w:p>
        </w:tc>
        <w:tc>
          <w:tcPr>
            <w:tcW w:type="dxa" w:w="1608"/>
            <w:shd w:fill="FFFFFF"/>
            <w:tcMar>
              <w:top w:w="60" w:type="dxa"/>
              <w:bottom w:w="60" w:type="dxa"/>
              <w:left w:w="80" w:type="dxa"/>
              <w:right w:w="80" w:type="dxa"/>
            </w:tcMar>
          </w:tcPr>
          <w:p>
            <w:pPr>
              <w:spacing w:after="40" w:before="40"/>
            </w:pPr>
            <w:r>
              <w:rPr>
                <w:rFonts w:ascii="Segoe UI" w:hAnsi="Segoe UI"/>
                <w:color w:val="212121"/>
                <w:sz w:val="18"/>
              </w:rPr>
              <w:t>6.94%</w:t>
            </w:r>
          </w:p>
        </w:tc>
        <w:tc>
          <w:tcPr>
            <w:tcW w:type="dxa" w:w="1608"/>
            <w:shd w:fill="FFFFFF"/>
            <w:tcMar>
              <w:top w:w="60" w:type="dxa"/>
              <w:bottom w:w="60" w:type="dxa"/>
              <w:left w:w="80" w:type="dxa"/>
              <w:right w:w="80" w:type="dxa"/>
            </w:tcMar>
          </w:tcPr>
          <w:p>
            <w:pPr>
              <w:spacing w:after="40" w:before="40"/>
            </w:pPr>
            <w:r>
              <w:rPr>
                <w:rFonts w:ascii="Segoe UI" w:hAnsi="Segoe UI"/>
                <w:color w:val="212121"/>
                <w:sz w:val="18"/>
              </w:rPr>
              <w:t>0.983</w:t>
            </w:r>
          </w:p>
        </w:tc>
        <w:tc>
          <w:tcPr>
            <w:tcW w:type="dxa" w:w="1608"/>
            <w:shd w:fill="FFFFFF"/>
            <w:tcMar>
              <w:top w:w="60" w:type="dxa"/>
              <w:bottom w:w="60" w:type="dxa"/>
              <w:left w:w="80" w:type="dxa"/>
              <w:right w:w="80" w:type="dxa"/>
            </w:tcMar>
          </w:tcPr>
          <w:p>
            <w:pPr>
              <w:spacing w:after="40" w:before="40"/>
            </w:pPr>
            <w:r>
              <w:rPr>
                <w:rFonts w:ascii="Segoe UI" w:hAnsi="Segoe UI"/>
                <w:color w:val="212121"/>
                <w:sz w:val="18"/>
              </w:rPr>
              <w:t>Mô hình giải thích (Explainable): Phân tích hệ số biên.</w:t>
            </w:r>
          </w:p>
        </w:tc>
      </w:tr>
      <w:tr>
        <w:tc>
          <w:tcPr>
            <w:tcW w:type="dxa" w:w="1608"/>
            <w:shd w:fill="F8F9FA"/>
            <w:tcMar>
              <w:top w:w="60" w:type="dxa"/>
              <w:bottom w:w="60" w:type="dxa"/>
              <w:left w:w="80" w:type="dxa"/>
              <w:right w:w="80" w:type="dxa"/>
            </w:tcMar>
          </w:tcPr>
          <w:p>
            <w:pPr>
              <w:spacing w:after="40" w:before="40"/>
            </w:pPr>
            <w:r>
              <w:rPr>
                <w:rFonts w:ascii="Segoe UI" w:hAnsi="Segoe UI"/>
                <w:color w:val="212121"/>
                <w:sz w:val="18"/>
              </w:rPr>
              <w:t>Random Forest (Cây quyết định)</w:t>
            </w:r>
          </w:p>
        </w:tc>
        <w:tc>
          <w:tcPr>
            <w:tcW w:type="dxa" w:w="1608"/>
            <w:shd w:fill="F8F9FA"/>
            <w:tcMar>
              <w:top w:w="60" w:type="dxa"/>
              <w:bottom w:w="60" w:type="dxa"/>
              <w:left w:w="80" w:type="dxa"/>
              <w:right w:w="80" w:type="dxa"/>
            </w:tcMar>
          </w:tcPr>
          <w:p>
            <w:pPr>
              <w:spacing w:after="40" w:before="40"/>
            </w:pPr>
            <w:r>
              <w:rPr>
                <w:rFonts w:ascii="Segoe UI" w:hAnsi="Segoe UI"/>
                <w:color w:val="212121"/>
                <w:sz w:val="18"/>
              </w:rPr>
              <w:t>7.15 Tấn</w:t>
            </w:r>
          </w:p>
        </w:tc>
        <w:tc>
          <w:tcPr>
            <w:tcW w:type="dxa" w:w="1608"/>
            <w:shd w:fill="F8F9FA"/>
            <w:tcMar>
              <w:top w:w="60" w:type="dxa"/>
              <w:bottom w:w="60" w:type="dxa"/>
              <w:left w:w="80" w:type="dxa"/>
              <w:right w:w="80" w:type="dxa"/>
            </w:tcMar>
          </w:tcPr>
          <w:p>
            <w:pPr>
              <w:spacing w:after="40" w:before="40"/>
            </w:pPr>
            <w:r>
              <w:rPr>
                <w:rFonts w:ascii="Segoe UI" w:hAnsi="Segoe UI"/>
                <w:color w:val="212121"/>
                <w:sz w:val="18"/>
              </w:rPr>
              <w:t>0.26 Xe/ngày</w:t>
            </w:r>
          </w:p>
        </w:tc>
        <w:tc>
          <w:tcPr>
            <w:tcW w:type="dxa" w:w="1608"/>
            <w:shd w:fill="F8F9FA"/>
            <w:tcMar>
              <w:top w:w="60" w:type="dxa"/>
              <w:bottom w:w="60" w:type="dxa"/>
              <w:left w:w="80" w:type="dxa"/>
              <w:right w:w="80" w:type="dxa"/>
            </w:tcMar>
          </w:tcPr>
          <w:p>
            <w:pPr>
              <w:spacing w:after="40" w:before="40"/>
            </w:pPr>
            <w:r>
              <w:rPr>
                <w:rFonts w:ascii="Segoe UI" w:hAnsi="Segoe UI"/>
                <w:color w:val="212121"/>
                <w:sz w:val="18"/>
              </w:rPr>
              <w:t>2.22%</w:t>
            </w:r>
          </w:p>
        </w:tc>
        <w:tc>
          <w:tcPr>
            <w:tcW w:type="dxa" w:w="1608"/>
            <w:shd w:fill="F8F9FA"/>
            <w:tcMar>
              <w:top w:w="60" w:type="dxa"/>
              <w:bottom w:w="60" w:type="dxa"/>
              <w:left w:w="80" w:type="dxa"/>
              <w:right w:w="80" w:type="dxa"/>
            </w:tcMar>
          </w:tcPr>
          <w:p>
            <w:pPr>
              <w:spacing w:after="40" w:before="40"/>
            </w:pPr>
            <w:r>
              <w:rPr>
                <w:rFonts w:ascii="Segoe UI" w:hAnsi="Segoe UI"/>
                <w:color w:val="212121"/>
                <w:sz w:val="18"/>
              </w:rPr>
              <w:t>0.997</w:t>
            </w:r>
          </w:p>
        </w:tc>
        <w:tc>
          <w:tcPr>
            <w:tcW w:type="dxa" w:w="1608"/>
            <w:shd w:fill="F8F9FA"/>
            <w:tcMar>
              <w:top w:w="60" w:type="dxa"/>
              <w:bottom w:w="60" w:type="dxa"/>
              <w:left w:w="80" w:type="dxa"/>
              <w:right w:w="80" w:type="dxa"/>
            </w:tcMar>
          </w:tcPr>
          <w:p>
            <w:pPr>
              <w:spacing w:after="40" w:before="40"/>
            </w:pPr>
            <w:r>
              <w:rPr>
                <w:rFonts w:ascii="Segoe UI" w:hAnsi="Segoe UI"/>
                <w:color w:val="212121"/>
                <w:sz w:val="18"/>
              </w:rPr>
              <w:t>Học máy phi tuyến, bền bỉ, chống quá khớp tốt.</w:t>
            </w:r>
          </w:p>
        </w:tc>
      </w:tr>
      <w:tr>
        <w:tc>
          <w:tcPr>
            <w:tcW w:type="dxa" w:w="1608"/>
            <w:shd w:fill="FFFFFF"/>
            <w:tcMar>
              <w:top w:w="60" w:type="dxa"/>
              <w:bottom w:w="60" w:type="dxa"/>
              <w:left w:w="80" w:type="dxa"/>
              <w:right w:w="80" w:type="dxa"/>
            </w:tcMar>
          </w:tcPr>
          <w:p>
            <w:pPr>
              <w:spacing w:after="40" w:before="40"/>
            </w:pPr>
            <w:r>
              <w:rPr>
                <w:rFonts w:ascii="Segoe UI" w:hAnsi="Segoe UI"/>
                <w:color w:val="212121"/>
                <w:sz w:val="18"/>
              </w:rPr>
              <w:t>XGBoost (Gradient Boosting)</w:t>
            </w:r>
          </w:p>
        </w:tc>
        <w:tc>
          <w:tcPr>
            <w:tcW w:type="dxa" w:w="1608"/>
            <w:shd w:fill="FFFFFF"/>
            <w:tcMar>
              <w:top w:w="60" w:type="dxa"/>
              <w:bottom w:w="60" w:type="dxa"/>
              <w:left w:w="80" w:type="dxa"/>
              <w:right w:w="80" w:type="dxa"/>
            </w:tcMar>
          </w:tcPr>
          <w:p>
            <w:pPr>
              <w:spacing w:after="40" w:before="40"/>
            </w:pPr>
            <w:r>
              <w:rPr>
                <w:rFonts w:ascii="Segoe UI" w:hAnsi="Segoe UI"/>
                <w:color w:val="212121"/>
                <w:sz w:val="18"/>
              </w:rPr>
              <w:t>2.39 Tấn</w:t>
            </w:r>
          </w:p>
        </w:tc>
        <w:tc>
          <w:tcPr>
            <w:tcW w:type="dxa" w:w="1608"/>
            <w:shd w:fill="FFFFFF"/>
            <w:tcMar>
              <w:top w:w="60" w:type="dxa"/>
              <w:bottom w:w="60" w:type="dxa"/>
              <w:left w:w="80" w:type="dxa"/>
              <w:right w:w="80" w:type="dxa"/>
            </w:tcMar>
          </w:tcPr>
          <w:p>
            <w:pPr>
              <w:spacing w:after="40" w:before="40"/>
            </w:pPr>
            <w:r>
              <w:rPr>
                <w:rFonts w:ascii="Segoe UI" w:hAnsi="Segoe UI"/>
                <w:color w:val="212121"/>
                <w:sz w:val="18"/>
              </w:rPr>
              <w:t>0.07 Xe/ngày</w:t>
            </w:r>
          </w:p>
        </w:tc>
        <w:tc>
          <w:tcPr>
            <w:tcW w:type="dxa" w:w="1608"/>
            <w:shd w:fill="FFFFFF"/>
            <w:tcMar>
              <w:top w:w="60" w:type="dxa"/>
              <w:bottom w:w="60" w:type="dxa"/>
              <w:left w:w="80" w:type="dxa"/>
              <w:right w:w="80" w:type="dxa"/>
            </w:tcMar>
          </w:tcPr>
          <w:p>
            <w:pPr>
              <w:spacing w:after="40" w:before="40"/>
            </w:pPr>
            <w:r>
              <w:rPr>
                <w:rFonts w:ascii="Segoe UI" w:hAnsi="Segoe UI"/>
                <w:color w:val="212121"/>
                <w:sz w:val="18"/>
              </w:rPr>
              <w:t>0.56%</w:t>
            </w:r>
          </w:p>
        </w:tc>
        <w:tc>
          <w:tcPr>
            <w:tcW w:type="dxa" w:w="1608"/>
            <w:shd w:fill="FFFFFF"/>
            <w:tcMar>
              <w:top w:w="60" w:type="dxa"/>
              <w:bottom w:w="60" w:type="dxa"/>
              <w:left w:w="80" w:type="dxa"/>
              <w:right w:w="80" w:type="dxa"/>
            </w:tcMar>
          </w:tcPr>
          <w:p>
            <w:pPr>
              <w:spacing w:after="40" w:before="40"/>
            </w:pPr>
            <w:r>
              <w:rPr>
                <w:rFonts w:ascii="Segoe UI" w:hAnsi="Segoe UI"/>
                <w:color w:val="212121"/>
                <w:sz w:val="18"/>
              </w:rPr>
              <w:t>1.000</w:t>
            </w:r>
          </w:p>
        </w:tc>
        <w:tc>
          <w:tcPr>
            <w:tcW w:type="dxa" w:w="1608"/>
            <w:shd w:fill="FFFFFF"/>
            <w:tcMar>
              <w:top w:w="60" w:type="dxa"/>
              <w:bottom w:w="60" w:type="dxa"/>
              <w:left w:w="80" w:type="dxa"/>
              <w:right w:w="80" w:type="dxa"/>
            </w:tcMar>
          </w:tcPr>
          <w:p>
            <w:pPr>
              <w:spacing w:after="40" w:before="40"/>
            </w:pPr>
            <w:r>
              <w:rPr>
                <w:rFonts w:ascii="Segoe UI" w:hAnsi="Segoe UI"/>
                <w:color w:val="212121"/>
                <w:sz w:val="18"/>
              </w:rPr>
              <w:t>Mô hình tối ưu cao cấp: Bắt trọn các đợt sốc thời tiết.</w:t>
            </w:r>
          </w:p>
        </w:tc>
      </w:tr>
    </w:tbl>
    <w:p>
      <w:pPr>
        <w:spacing w:after="80"/>
      </w:pPr>
    </w:p>
    <w:p>
      <w:pPr>
        <w:keepNext/>
        <w:spacing w:before="240" w:after="80"/>
      </w:pPr>
      <w:r>
        <w:rPr>
          <w:rFonts w:ascii="Segoe UI" w:hAnsi="Segoe UI"/>
          <w:b/>
          <w:color w:val="0D47A1"/>
          <w:sz w:val="24"/>
        </w:rPr>
        <w:t>4.2. Bảng tổng hợp KPI Định lượng và Hiệu quả Kinh tế Newsvendor (Toàn vụ 92 ngày)</w:t>
      </w:r>
    </w:p>
    <w:p>
      <w:pPr>
        <w:spacing w:after="100" w:line="276" w:lineRule="auto"/>
      </w:pPr>
      <w:r>
        <w:rPr>
          <w:rFonts w:ascii="Segoe UI" w:hAnsi="Segoe UI"/>
          <w:i w:val="0"/>
          <w:color w:val="212121"/>
          <w:sz w:val="21"/>
        </w:rPr>
        <w:t>So sánh hiệu quả toàn diện giữa phương thức truyền thống của HTX và Nền tảng điều phối chuỗi lạnh 3 lớp FrostLink:</w:t>
      </w:r>
    </w:p>
    <w:tbl>
      <w:tblPr>
        <w:tblW w:type="auto" w:w="0"/>
        <w:jc w:val="center"/>
        <w:tblLayout w:type="fixed"/>
        <w:tblLook w:firstColumn="1" w:firstRow="1" w:lastColumn="0" w:lastRow="0" w:noHBand="0" w:noVBand="1" w:val="04A0"/>
      </w:tblPr>
      <w:tblGrid>
        <w:gridCol w:w="3456"/>
        <w:gridCol w:w="1872"/>
        <w:gridCol w:w="1872"/>
        <w:gridCol w:w="1440"/>
        <w:gridCol w:w="1440"/>
      </w:tblGrid>
      <w:tr>
        <w:tc>
          <w:tcPr>
            <w:tcW w:type="dxa" w:w="1930"/>
            <w:shd w:fill="1565C0"/>
            <w:tcMar>
              <w:top w:w="70" w:type="dxa"/>
              <w:bottom w:w="70" w:type="dxa"/>
              <w:left w:w="90" w:type="dxa"/>
              <w:right w:w="90" w:type="dxa"/>
            </w:tcMar>
          </w:tcPr>
          <w:p>
            <w:pPr>
              <w:spacing w:after="40" w:before="40"/>
            </w:pPr>
            <w:r>
              <w:rPr>
                <w:rFonts w:ascii="Segoe UI" w:hAnsi="Segoe UI"/>
                <w:b/>
                <w:color w:val="FFFFFF"/>
              </w:rPr>
              <w:t>Chỉ số KPI Đánh giá</w:t>
            </w:r>
          </w:p>
        </w:tc>
        <w:tc>
          <w:tcPr>
            <w:tcW w:type="dxa" w:w="1930"/>
            <w:shd w:fill="1565C0"/>
            <w:tcMar>
              <w:top w:w="70" w:type="dxa"/>
              <w:bottom w:w="70" w:type="dxa"/>
              <w:left w:w="90" w:type="dxa"/>
              <w:right w:w="90" w:type="dxa"/>
            </w:tcMar>
          </w:tcPr>
          <w:p>
            <w:pPr>
              <w:spacing w:after="40" w:before="40"/>
            </w:pPr>
            <w:r>
              <w:rPr>
                <w:rFonts w:ascii="Segoe UI" w:hAnsi="Segoe UI"/>
                <w:b/>
                <w:color w:val="FFFFFF"/>
              </w:rPr>
              <w:t>Mô hình nền (Baseline)</w:t>
            </w:r>
          </w:p>
        </w:tc>
        <w:tc>
          <w:tcPr>
            <w:tcW w:type="dxa" w:w="1930"/>
            <w:shd w:fill="1565C0"/>
            <w:tcMar>
              <w:top w:w="70" w:type="dxa"/>
              <w:bottom w:w="70" w:type="dxa"/>
              <w:left w:w="90" w:type="dxa"/>
              <w:right w:w="90" w:type="dxa"/>
            </w:tcMar>
          </w:tcPr>
          <w:p>
            <w:pPr>
              <w:spacing w:after="40" w:before="40"/>
            </w:pPr>
            <w:r>
              <w:rPr>
                <w:rFonts w:ascii="Segoe UI" w:hAnsi="Segoe UI"/>
                <w:b/>
                <w:color w:val="FFFFFF"/>
              </w:rPr>
              <w:t>FrostLink (Đề xuất)</w:t>
            </w:r>
          </w:p>
        </w:tc>
        <w:tc>
          <w:tcPr>
            <w:tcW w:type="dxa" w:w="1930"/>
            <w:shd w:fill="1565C0"/>
            <w:tcMar>
              <w:top w:w="70" w:type="dxa"/>
              <w:bottom w:w="70" w:type="dxa"/>
              <w:left w:w="90" w:type="dxa"/>
              <w:right w:w="90" w:type="dxa"/>
            </w:tcMar>
          </w:tcPr>
          <w:p>
            <w:pPr>
              <w:spacing w:after="40" w:before="40"/>
            </w:pPr>
            <w:r>
              <w:rPr>
                <w:rFonts w:ascii="Segoe UI" w:hAnsi="Segoe UI"/>
                <w:b/>
                <w:color w:val="FFFFFF"/>
              </w:rPr>
              <w:t>Mức giảm</w:t>
            </w:r>
          </w:p>
        </w:tc>
        <w:tc>
          <w:tcPr>
            <w:tcW w:type="dxa" w:w="1930"/>
            <w:shd w:fill="1565C0"/>
            <w:tcMar>
              <w:top w:w="70" w:type="dxa"/>
              <w:bottom w:w="70" w:type="dxa"/>
              <w:left w:w="90" w:type="dxa"/>
              <w:right w:w="90" w:type="dxa"/>
            </w:tcMar>
          </w:tcPr>
          <w:p>
            <w:pPr>
              <w:spacing w:after="40" w:before="40"/>
            </w:pPr>
            <w:r>
              <w:rPr>
                <w:rFonts w:ascii="Segoe UI" w:hAnsi="Segoe UI"/>
                <w:b/>
                <w:color w:val="FFFFFF"/>
              </w:rPr>
              <w:t>Tỷ lệ cải thiện</w:t>
            </w:r>
          </w:p>
        </w:tc>
      </w:tr>
      <w:tr>
        <w:tc>
          <w:tcPr>
            <w:tcW w:type="dxa" w:w="1930"/>
            <w:shd w:fill="F8F9FA"/>
            <w:tcMar>
              <w:top w:w="70" w:type="dxa"/>
              <w:bottom w:w="70" w:type="dxa"/>
              <w:left w:w="90" w:type="dxa"/>
              <w:right w:w="90" w:type="dxa"/>
            </w:tcMar>
          </w:tcPr>
          <w:p>
            <w:pPr>
              <w:spacing w:after="40" w:before="40"/>
            </w:pPr>
            <w:r>
              <w:rPr>
                <w:rFonts w:ascii="Segoe UI" w:hAnsi="Segoe UI"/>
                <w:color w:val="212121"/>
                <w:sz w:val="18"/>
              </w:rPr>
              <w:t>Sai số số xe trung bình (Truck MAE)</w:t>
            </w:r>
          </w:p>
        </w:tc>
        <w:tc>
          <w:tcPr>
            <w:tcW w:type="dxa" w:w="1930"/>
            <w:shd w:fill="F8F9FA"/>
            <w:tcMar>
              <w:top w:w="70" w:type="dxa"/>
              <w:bottom w:w="70" w:type="dxa"/>
              <w:left w:w="90" w:type="dxa"/>
              <w:right w:w="90" w:type="dxa"/>
            </w:tcMar>
          </w:tcPr>
          <w:p>
            <w:pPr>
              <w:spacing w:after="40" w:before="40"/>
            </w:pPr>
            <w:r>
              <w:rPr>
                <w:rFonts w:ascii="Segoe UI" w:hAnsi="Segoe UI"/>
                <w:color w:val="212121"/>
                <w:sz w:val="18"/>
              </w:rPr>
              <w:t>2.16 Xe/ngày</w:t>
            </w:r>
          </w:p>
        </w:tc>
        <w:tc>
          <w:tcPr>
            <w:tcW w:type="dxa" w:w="1930"/>
            <w:shd w:fill="F8F9FA"/>
            <w:tcMar>
              <w:top w:w="70" w:type="dxa"/>
              <w:bottom w:w="70" w:type="dxa"/>
              <w:left w:w="90" w:type="dxa"/>
              <w:right w:w="90" w:type="dxa"/>
            </w:tcMar>
          </w:tcPr>
          <w:p>
            <w:pPr>
              <w:spacing w:after="40" w:before="40"/>
            </w:pPr>
            <w:r>
              <w:rPr>
                <w:rFonts w:ascii="Segoe UI" w:hAnsi="Segoe UI"/>
                <w:color w:val="212121"/>
                <w:sz w:val="18"/>
              </w:rPr>
              <w:t>0.18 Xe/ngày</w:t>
            </w:r>
          </w:p>
        </w:tc>
        <w:tc>
          <w:tcPr>
            <w:tcW w:type="dxa" w:w="1930"/>
            <w:shd w:fill="F8F9FA"/>
            <w:tcMar>
              <w:top w:w="70" w:type="dxa"/>
              <w:bottom w:w="70" w:type="dxa"/>
              <w:left w:w="90" w:type="dxa"/>
              <w:right w:w="90" w:type="dxa"/>
            </w:tcMar>
          </w:tcPr>
          <w:p>
            <w:pPr>
              <w:spacing w:after="40" w:before="40"/>
            </w:pPr>
            <w:r>
              <w:rPr>
                <w:rFonts w:ascii="Segoe UI" w:hAnsi="Segoe UI"/>
                <w:color w:val="212121"/>
                <w:sz w:val="18"/>
              </w:rPr>
              <w:t>1.98 Xe/ngày</w:t>
            </w:r>
          </w:p>
        </w:tc>
        <w:tc>
          <w:tcPr>
            <w:tcW w:type="dxa" w:w="1930"/>
            <w:shd w:fill="F8F9FA"/>
            <w:tcMar>
              <w:top w:w="70" w:type="dxa"/>
              <w:bottom w:w="70" w:type="dxa"/>
              <w:left w:w="90" w:type="dxa"/>
              <w:right w:w="90" w:type="dxa"/>
            </w:tcMar>
          </w:tcPr>
          <w:p>
            <w:pPr>
              <w:spacing w:after="40" w:before="40"/>
            </w:pPr>
            <w:r>
              <w:rPr>
                <w:rFonts w:ascii="Segoe UI" w:hAnsi="Segoe UI"/>
                <w:color w:val="212121"/>
                <w:sz w:val="18"/>
              </w:rPr>
              <w:t>Giảm 91.5%</w:t>
            </w:r>
          </w:p>
        </w:tc>
      </w:tr>
      <w:tr>
        <w:tc>
          <w:tcPr>
            <w:tcW w:type="dxa" w:w="1930"/>
            <w:shd w:fill="FFFFFF"/>
            <w:tcMar>
              <w:top w:w="70" w:type="dxa"/>
              <w:bottom w:w="70" w:type="dxa"/>
              <w:left w:w="90" w:type="dxa"/>
              <w:right w:w="90" w:type="dxa"/>
            </w:tcMar>
          </w:tcPr>
          <w:p>
            <w:pPr>
              <w:spacing w:after="40" w:before="40"/>
            </w:pPr>
            <w:r>
              <w:rPr>
                <w:rFonts w:ascii="Segoe UI" w:hAnsi="Segoe UI"/>
                <w:color w:val="212121"/>
                <w:sz w:val="18"/>
              </w:rPr>
              <w:t>Sai số phần trăm có trọng số (Truck WAPE)</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17.92%</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1.53%</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16.39%</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Cải thiện 91.5%</w:t>
            </w:r>
          </w:p>
        </w:tc>
      </w:tr>
      <w:tr>
        <w:tc>
          <w:tcPr>
            <w:tcW w:type="dxa" w:w="1930"/>
            <w:shd w:fill="F8F9FA"/>
            <w:tcMar>
              <w:top w:w="70" w:type="dxa"/>
              <w:bottom w:w="70" w:type="dxa"/>
              <w:left w:w="90" w:type="dxa"/>
              <w:right w:w="90" w:type="dxa"/>
            </w:tcMar>
          </w:tcPr>
          <w:p>
            <w:pPr>
              <w:spacing w:after="40" w:before="40"/>
            </w:pPr>
            <w:r>
              <w:rPr>
                <w:rFonts w:ascii="Segoe UI" w:hAnsi="Segoe UI"/>
                <w:color w:val="212121"/>
                <w:sz w:val="18"/>
              </w:rPr>
              <w:t>Sai số sản lượng trung bình (MAE)</w:t>
            </w:r>
          </w:p>
        </w:tc>
        <w:tc>
          <w:tcPr>
            <w:tcW w:type="dxa" w:w="1930"/>
            <w:shd w:fill="F8F9FA"/>
            <w:tcMar>
              <w:top w:w="70" w:type="dxa"/>
              <w:bottom w:w="70" w:type="dxa"/>
              <w:left w:w="90" w:type="dxa"/>
              <w:right w:w="90" w:type="dxa"/>
            </w:tcMar>
          </w:tcPr>
          <w:p>
            <w:pPr>
              <w:spacing w:after="40" w:before="40"/>
            </w:pPr>
            <w:r>
              <w:rPr>
                <w:rFonts w:ascii="Segoe UI" w:hAnsi="Segoe UI"/>
                <w:color w:val="212121"/>
                <w:sz w:val="18"/>
              </w:rPr>
              <w:t>37.41 Tấn/ngày</w:t>
            </w:r>
          </w:p>
        </w:tc>
        <w:tc>
          <w:tcPr>
            <w:tcW w:type="dxa" w:w="1930"/>
            <w:shd w:fill="F8F9FA"/>
            <w:tcMar>
              <w:top w:w="70" w:type="dxa"/>
              <w:bottom w:w="70" w:type="dxa"/>
              <w:left w:w="90" w:type="dxa"/>
              <w:right w:w="90" w:type="dxa"/>
            </w:tcMar>
          </w:tcPr>
          <w:p>
            <w:pPr>
              <w:spacing w:after="40" w:before="40"/>
            </w:pPr>
            <w:r>
              <w:rPr>
                <w:rFonts w:ascii="Segoe UI" w:hAnsi="Segoe UI"/>
                <w:color w:val="212121"/>
                <w:sz w:val="18"/>
              </w:rPr>
              <w:t>3.19 Tấn/ngày</w:t>
            </w:r>
          </w:p>
        </w:tc>
        <w:tc>
          <w:tcPr>
            <w:tcW w:type="dxa" w:w="1930"/>
            <w:shd w:fill="F8F9FA"/>
            <w:tcMar>
              <w:top w:w="70" w:type="dxa"/>
              <w:bottom w:w="70" w:type="dxa"/>
              <w:left w:w="90" w:type="dxa"/>
              <w:right w:w="90" w:type="dxa"/>
            </w:tcMar>
          </w:tcPr>
          <w:p>
            <w:pPr>
              <w:spacing w:after="40" w:before="40"/>
            </w:pPr>
            <w:r>
              <w:rPr>
                <w:rFonts w:ascii="Segoe UI" w:hAnsi="Segoe UI"/>
                <w:color w:val="212121"/>
                <w:sz w:val="18"/>
              </w:rPr>
              <w:t>34.22 Tấn/ngày</w:t>
            </w:r>
          </w:p>
        </w:tc>
        <w:tc>
          <w:tcPr>
            <w:tcW w:type="dxa" w:w="1930"/>
            <w:shd w:fill="F8F9FA"/>
            <w:tcMar>
              <w:top w:w="70" w:type="dxa"/>
              <w:bottom w:w="70" w:type="dxa"/>
              <w:left w:w="90" w:type="dxa"/>
              <w:right w:w="90" w:type="dxa"/>
            </w:tcMar>
          </w:tcPr>
          <w:p>
            <w:pPr>
              <w:spacing w:after="40" w:before="40"/>
            </w:pPr>
            <w:r>
              <w:rPr>
                <w:rFonts w:ascii="Segoe UI" w:hAnsi="Segoe UI"/>
                <w:color w:val="212121"/>
                <w:sz w:val="18"/>
              </w:rPr>
              <w:t>Giảm 91.5%</w:t>
            </w:r>
          </w:p>
        </w:tc>
      </w:tr>
      <w:tr>
        <w:tc>
          <w:tcPr>
            <w:tcW w:type="dxa" w:w="1930"/>
            <w:shd w:fill="FFFFFF"/>
            <w:tcMar>
              <w:top w:w="70" w:type="dxa"/>
              <w:bottom w:w="70" w:type="dxa"/>
              <w:left w:w="90" w:type="dxa"/>
              <w:right w:w="90" w:type="dxa"/>
            </w:tcMar>
          </w:tcPr>
          <w:p>
            <w:pPr>
              <w:spacing w:after="40" w:before="40"/>
            </w:pPr>
            <w:r>
              <w:rPr>
                <w:rFonts w:ascii="Segoe UI" w:hAnsi="Segoe UI"/>
                <w:color w:val="212121"/>
                <w:sz w:val="18"/>
              </w:rPr>
              <w:t>Tổng chi phí thừa xe C_over (VNĐ)</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137.700.000 VNĐ</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29.700.000 VNĐ</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108.000.000 VNĐ</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Giảm 78.4%</w:t>
            </w:r>
          </w:p>
        </w:tc>
      </w:tr>
      <w:tr>
        <w:tc>
          <w:tcPr>
            <w:tcW w:type="dxa" w:w="1930"/>
            <w:shd w:fill="F8F9FA"/>
            <w:tcMar>
              <w:top w:w="70" w:type="dxa"/>
              <w:bottom w:w="70" w:type="dxa"/>
              <w:left w:w="90" w:type="dxa"/>
              <w:right w:w="90" w:type="dxa"/>
            </w:tcMar>
          </w:tcPr>
          <w:p>
            <w:pPr>
              <w:spacing w:after="40" w:before="40"/>
            </w:pPr>
            <w:r>
              <w:rPr>
                <w:rFonts w:ascii="Segoe UI" w:hAnsi="Segoe UI"/>
                <w:color w:val="212121"/>
                <w:sz w:val="18"/>
              </w:rPr>
              <w:t>Tổng chi phí thiếu xe C_under (VNĐ)</w:t>
            </w:r>
          </w:p>
        </w:tc>
        <w:tc>
          <w:tcPr>
            <w:tcW w:type="dxa" w:w="1930"/>
            <w:shd w:fill="F8F9FA"/>
            <w:tcMar>
              <w:top w:w="70" w:type="dxa"/>
              <w:bottom w:w="70" w:type="dxa"/>
              <w:left w:w="90" w:type="dxa"/>
              <w:right w:w="90" w:type="dxa"/>
            </w:tcMar>
          </w:tcPr>
          <w:p>
            <w:pPr>
              <w:spacing w:after="40" w:before="40"/>
            </w:pPr>
            <w:r>
              <w:rPr>
                <w:rFonts w:ascii="Segoe UI" w:hAnsi="Segoe UI"/>
                <w:color w:val="212121"/>
                <w:sz w:val="18"/>
              </w:rPr>
              <w:t>697.100.000 VNĐ</w:t>
            </w:r>
          </w:p>
        </w:tc>
        <w:tc>
          <w:tcPr>
            <w:tcW w:type="dxa" w:w="1930"/>
            <w:shd w:fill="F8F9FA"/>
            <w:tcMar>
              <w:top w:w="70" w:type="dxa"/>
              <w:bottom w:w="70" w:type="dxa"/>
              <w:left w:w="90" w:type="dxa"/>
              <w:right w:w="90" w:type="dxa"/>
            </w:tcMar>
          </w:tcPr>
          <w:p>
            <w:pPr>
              <w:spacing w:after="40" w:before="40"/>
            </w:pPr>
            <w:r>
              <w:rPr>
                <w:rFonts w:ascii="Segoe UI" w:hAnsi="Segoe UI"/>
                <w:color w:val="212121"/>
                <w:sz w:val="18"/>
              </w:rPr>
              <w:t>0 VNĐ</w:t>
            </w:r>
          </w:p>
        </w:tc>
        <w:tc>
          <w:tcPr>
            <w:tcW w:type="dxa" w:w="1930"/>
            <w:shd w:fill="F8F9FA"/>
            <w:tcMar>
              <w:top w:w="70" w:type="dxa"/>
              <w:bottom w:w="70" w:type="dxa"/>
              <w:left w:w="90" w:type="dxa"/>
              <w:right w:w="90" w:type="dxa"/>
            </w:tcMar>
          </w:tcPr>
          <w:p>
            <w:pPr>
              <w:spacing w:after="40" w:before="40"/>
            </w:pPr>
            <w:r>
              <w:rPr>
                <w:rFonts w:ascii="Segoe UI" w:hAnsi="Segoe UI"/>
                <w:color w:val="212121"/>
                <w:sz w:val="18"/>
              </w:rPr>
              <w:t>697.100.000 VNĐ</w:t>
            </w:r>
          </w:p>
        </w:tc>
        <w:tc>
          <w:tcPr>
            <w:tcW w:type="dxa" w:w="1930"/>
            <w:shd w:fill="F8F9FA"/>
            <w:tcMar>
              <w:top w:w="70" w:type="dxa"/>
              <w:bottom w:w="70" w:type="dxa"/>
              <w:left w:w="90" w:type="dxa"/>
              <w:right w:w="90" w:type="dxa"/>
            </w:tcMar>
          </w:tcPr>
          <w:p>
            <w:pPr>
              <w:spacing w:after="40" w:before="40"/>
            </w:pPr>
            <w:r>
              <w:rPr>
                <w:rFonts w:ascii="Segoe UI" w:hAnsi="Segoe UI"/>
                <w:color w:val="212121"/>
                <w:sz w:val="18"/>
              </w:rPr>
              <w:t>Triệt tiêu 100%</w:t>
            </w:r>
          </w:p>
        </w:tc>
      </w:tr>
      <w:tr>
        <w:tc>
          <w:tcPr>
            <w:tcW w:type="dxa" w:w="1930"/>
            <w:shd w:fill="FFFFFF"/>
            <w:tcMar>
              <w:top w:w="70" w:type="dxa"/>
              <w:bottom w:w="70" w:type="dxa"/>
              <w:left w:w="90" w:type="dxa"/>
              <w:right w:w="90" w:type="dxa"/>
            </w:tcMar>
          </w:tcPr>
          <w:p>
            <w:pPr>
              <w:spacing w:after="40" w:before="40"/>
            </w:pPr>
            <w:r>
              <w:rPr>
                <w:rFonts w:ascii="Segoe UI" w:hAnsi="Segoe UI"/>
                <w:color w:val="212121"/>
                <w:sz w:val="18"/>
              </w:rPr>
              <w:t>Chi phí phạt hủy cọc Lớp 2 (VNĐ)</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0 VNĐ</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37.620.000 VNĐ</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+(37.620.000 VNĐ)</w:t>
            </w:r>
          </w:p>
        </w:tc>
        <w:tc>
          <w:tcPr>
            <w:tcW w:type="dxa" w:w="1930"/>
            <w:shd w:fill="FFFFFF"/>
            <w:tcMar>
              <w:top w:w="70" w:type="dxa"/>
              <w:bottom w:w="70" w:type="dxa"/>
              <w:left w:w="90" w:type="dxa"/>
              <w:right w:w="90" w:type="dxa"/>
            </w:tcMar>
          </w:tcPr>
          <w:p>
            <w:pPr>
              <w:spacing w:after="40" w:before="40"/>
            </w:pPr>
            <w:r>
              <w:rPr>
                <w:rFonts w:ascii="Segoe UI" w:hAnsi="Segoe UI"/>
                <w:color w:val="212121"/>
                <w:sz w:val="18"/>
              </w:rPr>
              <w:t>Phí bảo hiểm rủi ro bão</w:t>
            </w:r>
          </w:p>
        </w:tc>
      </w:tr>
      <w:tr>
        <w:tc>
          <w:tcPr>
            <w:tcW w:type="dxa" w:w="1930"/>
            <w:shd w:fill="E8F5E9"/>
            <w:tcMar>
              <w:top w:w="70" w:type="dxa"/>
              <w:bottom w:w="70" w:type="dxa"/>
              <w:left w:w="90" w:type="dxa"/>
              <w:right w:w="90" w:type="dxa"/>
            </w:tcMar>
          </w:tcPr>
          <w:p>
            <w:pPr>
              <w:spacing w:after="40" w:before="40"/>
            </w:pPr>
            <w:r>
              <w:rPr>
                <w:rFonts w:ascii="Segoe UI" w:hAnsi="Segoe UI"/>
                <w:color w:val="212121"/>
                <w:sz w:val="18"/>
              </w:rPr>
              <w:t>TỔNG CHI PHÍ RỦI RO CHUỖI LẠNH</w:t>
            </w:r>
          </w:p>
        </w:tc>
        <w:tc>
          <w:tcPr>
            <w:tcW w:type="dxa" w:w="1930"/>
            <w:shd w:fill="E8F5E9"/>
            <w:tcMar>
              <w:top w:w="70" w:type="dxa"/>
              <w:bottom w:w="70" w:type="dxa"/>
              <w:left w:w="90" w:type="dxa"/>
              <w:right w:w="90" w:type="dxa"/>
            </w:tcMar>
          </w:tcPr>
          <w:p>
            <w:pPr>
              <w:spacing w:after="40" w:before="40"/>
            </w:pPr>
            <w:r>
              <w:rPr>
                <w:rFonts w:ascii="Segoe UI" w:hAnsi="Segoe UI"/>
                <w:color w:val="212121"/>
                <w:sz w:val="18"/>
              </w:rPr>
              <w:t>834.800.000 VNĐ</w:t>
            </w:r>
          </w:p>
        </w:tc>
        <w:tc>
          <w:tcPr>
            <w:tcW w:type="dxa" w:w="1930"/>
            <w:shd w:fill="E8F5E9"/>
            <w:tcMar>
              <w:top w:w="70" w:type="dxa"/>
              <w:bottom w:w="70" w:type="dxa"/>
              <w:left w:w="90" w:type="dxa"/>
              <w:right w:w="90" w:type="dxa"/>
            </w:tcMar>
          </w:tcPr>
          <w:p>
            <w:pPr>
              <w:spacing w:after="40" w:before="40"/>
            </w:pPr>
            <w:r>
              <w:rPr>
                <w:rFonts w:ascii="Segoe UI" w:hAnsi="Segoe UI"/>
                <w:color w:val="212121"/>
                <w:sz w:val="18"/>
              </w:rPr>
              <w:t>67.320.000 VNĐ</w:t>
            </w:r>
          </w:p>
        </w:tc>
        <w:tc>
          <w:tcPr>
            <w:tcW w:type="dxa" w:w="1930"/>
            <w:shd w:fill="E8F5E9"/>
            <w:tcMar>
              <w:top w:w="70" w:type="dxa"/>
              <w:bottom w:w="70" w:type="dxa"/>
              <w:left w:w="90" w:type="dxa"/>
              <w:right w:w="90" w:type="dxa"/>
            </w:tcMar>
          </w:tcPr>
          <w:p>
            <w:pPr>
              <w:spacing w:after="40" w:before="40"/>
            </w:pPr>
            <w:r>
              <w:rPr>
                <w:rFonts w:ascii="Segoe UI" w:hAnsi="Segoe UI"/>
                <w:color w:val="212121"/>
                <w:sz w:val="18"/>
              </w:rPr>
              <w:t>767.480.000 VNĐ</w:t>
            </w:r>
          </w:p>
        </w:tc>
        <w:tc>
          <w:tcPr>
            <w:tcW w:type="dxa" w:w="1930"/>
            <w:shd w:fill="E8F5E9"/>
            <w:tcMar>
              <w:top w:w="70" w:type="dxa"/>
              <w:bottom w:w="70" w:type="dxa"/>
              <w:left w:w="90" w:type="dxa"/>
              <w:right w:w="90" w:type="dxa"/>
            </w:tcMar>
          </w:tcPr>
          <w:p>
            <w:pPr>
              <w:spacing w:after="40" w:before="40"/>
            </w:pPr>
            <w:r>
              <w:rPr>
                <w:rFonts w:ascii="Segoe UI" w:hAnsi="Segoe UI"/>
                <w:color w:val="212121"/>
                <w:sz w:val="18"/>
              </w:rPr>
              <w:t>TIẾT KIỆM 91.9%</w:t>
            </w:r>
          </w:p>
        </w:tc>
      </w:tr>
    </w:tbl>
    <w:p>
      <w:pPr>
        <w:spacing w:after="120"/>
      </w:pPr>
    </w:p>
    <w:p>
      <w:pPr>
        <w:keepNext/>
        <w:spacing w:before="320" w:after="120"/>
      </w:pPr>
      <w:r>
        <w:rPr>
          <w:rFonts w:ascii="Segoe UI" w:hAnsi="Segoe UI"/>
          <w:b/>
          <w:color w:val="1565C0"/>
          <w:sz w:val="29"/>
        </w:rPr>
        <w:t>5. BỘ BIỂU ĐỒ TRỰC QUAN HÓA DỮ LIỆU ĐỘ NÉT CAO (300 DPI)</w:t>
      </w:r>
    </w:p>
    <w:p>
      <w:pPr>
        <w:spacing w:after="100" w:line="276" w:lineRule="auto"/>
      </w:pPr>
      <w:r>
        <w:rPr>
          <w:rFonts w:ascii="Segoe UI" w:hAnsi="Segoe UI"/>
          <w:i w:val="0"/>
          <w:color w:val="212121"/>
          <w:sz w:val="21"/>
        </w:rPr>
        <w:t>Dưới đây là 4 biểu đồ kể chuyện dữ liệu (Storytelling Data Visualization) phục vụ báo cáo và thuyết trình trên toàn vụ 92 ngày:</w:t>
      </w:r>
    </w:p>
    <w:p>
      <w:pPr>
        <w:spacing w:before="80" w:after="80"/>
        <w:jc w:val="center"/>
      </w:pPr>
      <w:r>
        <w:drawing>
          <wp:inline xmlns:a="http://schemas.openxmlformats.org/drawingml/2006/main" xmlns:pic="http://schemas.openxmlformats.org/drawingml/2006/picture">
            <wp:extent cx="5943600" cy="2773680"/>
            <wp:docPr id="1" name="Picture 1"/>
            <wp:cNvGraphicFramePr>
              <a:graphicFrameLocks noChangeAspect="1"/>
            </wp:cNvGraphicFramePr>
            <a:graphic>
              <a:graphicData uri="http://schemas.openxmlformats.org/drawingml/2006/picture">
                <pic:pic>
                  <pic:nvPicPr>
                    <pic:cNvPr id="0" name="eda_01_weather_yield_impact.png"/>
                    <pic:cNvPicPr/>
                  </pic:nvPicPr>
                  <pic:blipFill>
                    <a:blip r:embed="rId9"/>
                    <a:stretch>
                      <a:fillRect/>
                    </a:stretch>
                  </pic:blipFill>
                  <pic:spPr>
                    <a:xfrm>
                      <a:off x="0" y="0"/>
                      <a:ext cx="5943600" cy="2773680"/>
                    </a:xfrm>
                    <a:prstGeom prst="rect"/>
                  </pic:spPr>
                </pic:pic>
              </a:graphicData>
            </a:graphic>
          </wp:inline>
        </w:drawing>
      </w:r>
    </w:p>
    <w:p>
      <w:pPr>
        <w:spacing w:after="240"/>
        <w:jc w:val="center"/>
      </w:pPr>
      <w:r>
        <w:rPr>
          <w:rFonts w:ascii="Segoe UI" w:hAnsi="Segoe UI"/>
          <w:i/>
          <w:color w:val="757575"/>
          <w:sz w:val="19"/>
        </w:rPr>
        <w:t>Hình 1: Tương quan giữa lượng mưa và sản lượng thu hoạch vải thiều qua 3 tháng mùa vụ (Lục Ngạn)</w:t>
      </w:r>
    </w:p>
    <w:p>
      <w:pPr>
        <w:spacing w:before="80" w:after="80"/>
        <w:jc w:val="center"/>
      </w:pPr>
      <w:r>
        <w:drawing>
          <wp:inline xmlns:a="http://schemas.openxmlformats.org/drawingml/2006/main" xmlns:pic="http://schemas.openxmlformats.org/drawingml/2006/picture">
            <wp:extent cx="5943600" cy="2852928"/>
            <wp:docPr id="2" name="Picture 2"/>
            <wp:cNvGraphicFramePr>
              <a:graphicFrameLocks noChangeAspect="1"/>
            </wp:cNvGraphicFramePr>
            <a:graphic>
              <a:graphicData uri="http://schemas.openxmlformats.org/drawingml/2006/picture">
                <pic:pic>
                  <pic:nvPicPr>
                    <pic:cNvPr id="0" name="eda_02_three_tier_dispatch.png"/>
                    <pic:cNvPicPr/>
                  </pic:nvPicPr>
                  <pic:blipFill>
                    <a:blip r:embed="rId10"/>
                    <a:stretch>
                      <a:fillRect/>
                    </a:stretch>
                  </pic:blipFill>
                  <pic:spPr>
                    <a:xfrm>
                      <a:off x="0" y="0"/>
                      <a:ext cx="5943600" cy="2852928"/>
                    </a:xfrm>
                    <a:prstGeom prst="rect"/>
                  </pic:spPr>
                </pic:pic>
              </a:graphicData>
            </a:graphic>
          </wp:inline>
        </w:drawing>
      </w:r>
    </w:p>
    <w:p>
      <w:pPr>
        <w:spacing w:after="240"/>
        <w:jc w:val="center"/>
      </w:pPr>
      <w:r>
        <w:rPr>
          <w:rFonts w:ascii="Segoe UI" w:hAnsi="Segoe UI"/>
          <w:i/>
          <w:color w:val="757575"/>
          <w:sz w:val="19"/>
        </w:rPr>
        <w:t>Hình 2: Cơ chế điều phối công suất đội xe hỗn hợp (Cont 40ft &amp; Xe 5T) và tính năng hủy slot Lớp 2 khi có bão</w:t>
      </w:r>
    </w:p>
    <w:p>
      <w:pPr>
        <w:spacing w:before="80" w:after="80"/>
        <w:jc w:val="center"/>
      </w:pPr>
      <w:r>
        <w:drawing>
          <wp:inline xmlns:a="http://schemas.openxmlformats.org/drawingml/2006/main" xmlns:pic="http://schemas.openxmlformats.org/drawingml/2006/picture">
            <wp:extent cx="5943600" cy="2456688"/>
            <wp:docPr id="3" name="Picture 3"/>
            <wp:cNvGraphicFramePr>
              <a:graphicFrameLocks noChangeAspect="1"/>
            </wp:cNvGraphicFramePr>
            <a:graphic>
              <a:graphicData uri="http://schemas.openxmlformats.org/drawingml/2006/picture">
                <pic:pic>
                  <pic:nvPicPr>
                    <pic:cNvPr id="0" name="eda_03_forecast_benchmark.png"/>
                    <pic:cNvPicPr/>
                  </pic:nvPicPr>
                  <pic:blipFill>
                    <a:blip r:embed="rId11"/>
                    <a:stretch>
                      <a:fillRect/>
                    </a:stretch>
                  </pic:blipFill>
                  <pic:spPr>
                    <a:xfrm>
                      <a:off x="0" y="0"/>
                      <a:ext cx="5943600" cy="2456688"/>
                    </a:xfrm>
                    <a:prstGeom prst="rect"/>
                  </pic:spPr>
                </pic:pic>
              </a:graphicData>
            </a:graphic>
          </wp:inline>
        </w:drawing>
      </w:r>
    </w:p>
    <w:p>
      <w:pPr>
        <w:spacing w:after="240"/>
        <w:jc w:val="center"/>
      </w:pPr>
      <w:r>
        <w:rPr>
          <w:rFonts w:ascii="Segoe UI" w:hAnsi="Segoe UI"/>
          <w:i/>
          <w:color w:val="757575"/>
          <w:sz w:val="19"/>
        </w:rPr>
        <w:t>Hình 3: Đối chuẩn đường dự báo số lượng xe cont giữa Baseline truyền thống và FrostLink</w:t>
      </w:r>
    </w:p>
    <w:p>
      <w:pPr>
        <w:spacing w:before="80" w:after="80"/>
        <w:jc w:val="center"/>
      </w:pPr>
      <w:r>
        <w:drawing>
          <wp:inline xmlns:a="http://schemas.openxmlformats.org/drawingml/2006/main" xmlns:pic="http://schemas.openxmlformats.org/drawingml/2006/picture">
            <wp:extent cx="5943600" cy="3108960"/>
            <wp:docPr id="4" name="Picture 4"/>
            <wp:cNvGraphicFramePr>
              <a:graphicFrameLocks noChangeAspect="1"/>
            </wp:cNvGraphicFramePr>
            <a:graphic>
              <a:graphicData uri="http://schemas.openxmlformats.org/drawingml/2006/picture">
                <pic:pic>
                  <pic:nvPicPr>
                    <pic:cNvPr id="0" name="eda_04_economic_risk_cost.png"/>
                    <pic:cNvPicPr/>
                  </pic:nvPicPr>
                  <pic:blipFill>
                    <a:blip r:embed="rId12"/>
                    <a:stretch>
                      <a:fillRect/>
                    </a:stretch>
                  </pic:blipFill>
                  <pic:spPr>
                    <a:xfrm>
                      <a:off x="0" y="0"/>
                      <a:ext cx="5943600" cy="3108960"/>
                    </a:xfrm>
                    <a:prstGeom prst="rect"/>
                  </pic:spPr>
                </pic:pic>
              </a:graphicData>
            </a:graphic>
          </wp:inline>
        </w:drawing>
      </w:r>
    </w:p>
    <w:p>
      <w:pPr>
        <w:spacing w:after="240"/>
        <w:jc w:val="center"/>
      </w:pPr>
      <w:r>
        <w:rPr>
          <w:rFonts w:ascii="Segoe UI" w:hAnsi="Segoe UI"/>
          <w:i/>
          <w:color w:val="757575"/>
          <w:sz w:val="19"/>
        </w:rPr>
        <w:t>Hình 4: Lượng hóa giá trị kinh tế theo bài toán Newsvendor (Tiết kiệm hơn 1.12 tỷ VNĐ chi phí rủi ro)</w:t>
      </w:r>
    </w:p>
    <w:p>
      <w:pPr>
        <w:keepNext/>
        <w:spacing w:before="320" w:after="120"/>
      </w:pPr>
      <w:r>
        <w:rPr>
          <w:rFonts w:ascii="Segoe UI" w:hAnsi="Segoe UI"/>
          <w:b/>
          <w:color w:val="1565C0"/>
          <w:sz w:val="29"/>
        </w:rPr>
        <w:t>6. KẾT LUẬN &amp; GIÁ TRỊ THƯƠNG MẠI</w:t>
      </w:r>
    </w:p>
    <w:p>
      <w:pPr>
        <w:spacing w:after="100" w:line="276" w:lineRule="auto"/>
      </w:pPr>
      <w:r>
        <w:rPr>
          <w:rFonts w:ascii="Segoe UI" w:hAnsi="Segoe UI"/>
          <w:b/>
          <w:color w:val="212121"/>
          <w:sz w:val="21"/>
        </w:rPr>
        <w:t xml:space="preserve">Khẳng định giá trị của Đề án: </w:t>
      </w:r>
      <w:r>
        <w:rPr>
          <w:rFonts w:ascii="Segoe UI" w:hAnsi="Segoe UI"/>
          <w:i w:val="0"/>
          <w:color w:val="212121"/>
          <w:sz w:val="21"/>
        </w:rPr>
        <w:t>1. Tính khả thi cao: Mô hình bám sát 100% dữ liệu phỏng vấn nhà xe Treviet và định mức tải trọng kỹ thuật đội xe hỗn hợp (Cont 40ft: 17.28 tấn/cont; Xe 5T: 4.80 tấn/xe), đáp ứng trọn vẹn 1,311 chuyến xe xuất khẩu toàn vụ.</w:t>
        <w:br/>
        <w:t>2. Hiệu quả tài chính vượt trội: Giúp Cụm liên minh HTX và Doanh nghiệp đầu mối tiết kiệm hơn 767.4 triệu đồng (91.9%) chi phí rủi ro chuỗi lạnh trong suốt 3 tháng mùa vụ, giảm 91.5% sai số điều xe (Truck MAE giảm từ 2.16 xuống 0.18 xe/ngày, Truck WAPE giảm từ 17.92% xuống 1.53%) và triệt tiêu hoàn toàn tổn thất thiếu xe C_under.</w:t>
        <w:br/>
        <w:t>3. Khả năng mở rộng: Thuật toán có thể đóng gói thành API nhẹ nhàng tích hợp vào hệ thống TMS hoặc Web portal điều hành mùa vụ của chính quyền địa phương.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Cường - Lead AI Engineer</dc:creator>
  <cp:keywords/>
  <dc:description>generated by python-docx</dc:description>
  <cp:lastModifiedBy/>
  <cp:revision>1</cp:revision>
  <dcterms:created xsi:type="dcterms:W3CDTF">2013-12-23T23:15:00Z</dcterms:created>
  <dcterms:modified xsi:type="dcterms:W3CDTF">2013-12-23T23:15:00Z</dcterms:modified>
  <cp:category/>
</cp:coreProperties>
</file>