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REG-006</w:t>
        <w:br/>
        <w:t>Identity Register</w:t>
      </w:r>
    </w:p>
    <w:p>
      <w:r>
        <w:t>Repository: tooling\ProgrammeManagement\02 Governance\\</w:t>
      </w:r>
    </w:p>
    <w:p>
      <w:r>
        <w:t>Filename: REG-006 Identity Register.docx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REG-006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Identity Register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REG-006 Identity Register.docx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Identity Classification</w:t>
      </w:r>
    </w:p>
    <w:p>
      <w:r>
        <w:t>8. Identity Lifecycle</w:t>
      </w:r>
    </w:p>
    <w:p>
      <w:r>
        <w:t>9. Identity Register</w:t>
      </w:r>
    </w:p>
    <w:p>
      <w:r>
        <w:t>10. Identity Review Process</w:t>
      </w:r>
    </w:p>
    <w:p>
      <w:r>
        <w:t>11. Related Documents</w:t>
      </w:r>
    </w:p>
    <w:p>
      <w:r>
        <w:t>12. Appendices</w:t>
      </w:r>
    </w:p>
    <w:p>
      <w:pPr>
        <w:pStyle w:val="Heading1"/>
      </w:pPr>
      <w:r>
        <w:t>Purpose</w:t>
      </w:r>
    </w:p>
    <w:p>
      <w:r>
        <w:t>Define the controlled process for identifying, governing and reviewing every identity used within the programme.</w:t>
      </w:r>
    </w:p>
    <w:p>
      <w:pPr>
        <w:pStyle w:val="Heading1"/>
      </w:pPr>
      <w:r>
        <w:t>Scope</w:t>
      </w:r>
    </w:p>
    <w:p>
      <w:r>
        <w:t>Applies to all user accounts, service accounts, administrative accounts, shared operational accounts, API identities and machine identities.</w:t>
      </w:r>
    </w:p>
    <w:p>
      <w:pPr>
        <w:pStyle w:val="Heading1"/>
      </w:pPr>
      <w:r>
        <w:t>Identity Classification</w:t>
      </w:r>
    </w:p>
    <w:p>
      <w:pPr>
        <w:pStyle w:val="ListBullet"/>
      </w:pPr>
      <w:r>
        <w:t>Human User</w:t>
      </w:r>
    </w:p>
    <w:p>
      <w:pPr>
        <w:pStyle w:val="ListBullet"/>
      </w:pPr>
      <w:r>
        <w:t>Administrator</w:t>
      </w:r>
    </w:p>
    <w:p>
      <w:pPr>
        <w:pStyle w:val="ListBullet"/>
      </w:pPr>
      <w:r>
        <w:t>Service Account</w:t>
      </w:r>
    </w:p>
    <w:p>
      <w:pPr>
        <w:pStyle w:val="ListBullet"/>
      </w:pPr>
      <w:r>
        <w:t>Shared Operational Account</w:t>
      </w:r>
    </w:p>
    <w:p>
      <w:pPr>
        <w:pStyle w:val="ListBullet"/>
      </w:pPr>
      <w:r>
        <w:t>API Identity</w:t>
      </w:r>
    </w:p>
    <w:p>
      <w:pPr>
        <w:pStyle w:val="ListBullet"/>
      </w:pPr>
      <w:r>
        <w:t>Machine Identity</w:t>
      </w:r>
    </w:p>
    <w:p>
      <w:pPr>
        <w:pStyle w:val="ListBullet"/>
      </w:pPr>
      <w:r>
        <w:t>Third-party Identity</w:t>
      </w:r>
    </w:p>
    <w:p>
      <w:pPr>
        <w:pStyle w:val="Heading1"/>
      </w:pPr>
      <w:r>
        <w:t>Identity Lifecycle</w:t>
      </w:r>
    </w:p>
    <w:p>
      <w:r>
        <w:t>Create</w:t>
        <w:br/>
        <w:t>↓</w:t>
        <w:br/>
        <w:t>Approve</w:t>
        <w:br/>
        <w:t>↓</w:t>
        <w:br/>
        <w:t>Provision</w:t>
        <w:br/>
        <w:t>↓</w:t>
        <w:br/>
        <w:t>Use</w:t>
        <w:br/>
        <w:t>↓</w:t>
        <w:br/>
        <w:t>Review</w:t>
        <w:br/>
        <w:t>↓</w:t>
        <w:br/>
        <w:t>Modify</w:t>
        <w:br/>
        <w:t>↓</w:t>
        <w:br/>
        <w:t>Disable</w:t>
        <w:br/>
        <w:t>↓</w:t>
        <w:br/>
        <w:t>Retire</w:t>
      </w:r>
    </w:p>
    <w:p>
      <w:pPr>
        <w:pStyle w:val="Heading1"/>
      </w:pPr>
      <w:r>
        <w:t>Identity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Identity ID</w:t>
            </w:r>
          </w:p>
        </w:tc>
        <w:tc>
          <w:tcPr>
            <w:tcW w:type="dxa" w:w="480"/>
          </w:tcPr>
          <w:p>
            <w:r>
              <w:t>Identity Name</w:t>
            </w:r>
          </w:p>
        </w:tc>
        <w:tc>
          <w:tcPr>
            <w:tcW w:type="dxa" w:w="480"/>
          </w:tcPr>
          <w:p>
            <w:r>
              <w:t>Identity Type</w:t>
            </w:r>
          </w:p>
        </w:tc>
        <w:tc>
          <w:tcPr>
            <w:tcW w:type="dxa" w:w="480"/>
          </w:tcPr>
          <w:p>
            <w:r>
              <w:t>Purpose</w:t>
            </w:r>
          </w:p>
        </w:tc>
        <w:tc>
          <w:tcPr>
            <w:tcW w:type="dxa" w:w="480"/>
          </w:tcPr>
          <w:p>
            <w:r>
              <w:t>Owner</w:t>
            </w:r>
          </w:p>
        </w:tc>
        <w:tc>
          <w:tcPr>
            <w:tcW w:type="dxa" w:w="480"/>
          </w:tcPr>
          <w:p>
            <w:r>
              <w:t>Associated Environment</w:t>
            </w:r>
          </w:p>
        </w:tc>
        <w:tc>
          <w:tcPr>
            <w:tcW w:type="dxa" w:w="480"/>
          </w:tcPr>
          <w:p>
            <w:r>
              <w:t>Associated Technology</w:t>
            </w:r>
          </w:p>
        </w:tc>
        <w:tc>
          <w:tcPr>
            <w:tcW w:type="dxa" w:w="480"/>
          </w:tcPr>
          <w:p>
            <w:r>
              <w:t>Authentication Method</w:t>
            </w:r>
          </w:p>
        </w:tc>
        <w:tc>
          <w:tcPr>
            <w:tcW w:type="dxa" w:w="480"/>
          </w:tcPr>
          <w:p>
            <w:r>
              <w:t>Privilege Level</w:t>
            </w:r>
          </w:p>
        </w:tc>
        <w:tc>
          <w:tcPr>
            <w:tcW w:type="dxa" w:w="480"/>
          </w:tcPr>
          <w:p>
            <w:r>
              <w:t>Linked Secrets Register Reference</w:t>
            </w:r>
          </w:p>
        </w:tc>
        <w:tc>
          <w:tcPr>
            <w:tcW w:type="dxa" w:w="480"/>
          </w:tcPr>
          <w:p>
            <w:r>
              <w:t>Multi-factor Authentication Enabled</w:t>
            </w:r>
          </w:p>
        </w:tc>
        <w:tc>
          <w:tcPr>
            <w:tcW w:type="dxa" w:w="480"/>
          </w:tcPr>
          <w:p>
            <w:r>
              <w:t>Account Status</w:t>
            </w:r>
          </w:p>
        </w:tc>
        <w:tc>
          <w:tcPr>
            <w:tcW w:type="dxa" w:w="480"/>
          </w:tcPr>
          <w:p>
            <w:r>
              <w:t>Last Credential Review</w:t>
            </w:r>
          </w:p>
        </w:tc>
        <w:tc>
          <w:tcPr>
            <w:tcW w:type="dxa" w:w="480"/>
          </w:tcPr>
          <w:p>
            <w:r>
              <w:t>Next Credential Review</w:t>
            </w:r>
          </w:p>
        </w:tc>
        <w:tc>
          <w:tcPr>
            <w:tcW w:type="dxa" w:w="480"/>
          </w:tcPr>
          <w:p>
            <w:r>
              <w:t>Last Access Review</w:t>
            </w:r>
          </w:p>
        </w:tc>
        <w:tc>
          <w:tcPr>
            <w:tcW w:type="dxa" w:w="480"/>
          </w:tcPr>
          <w:p>
            <w:r>
              <w:t>Next Access Review</w:t>
            </w:r>
          </w:p>
        </w:tc>
        <w:tc>
          <w:tcPr>
            <w:tcW w:type="dxa" w:w="480"/>
          </w:tcPr>
          <w:p>
            <w:r>
              <w:t>Owner Confirmation</w:t>
            </w:r>
          </w:p>
        </w:tc>
        <w:tc>
          <w:tcPr>
            <w:tcW w:type="dxa" w:w="480"/>
          </w:tcPr>
          <w:p>
            <w:r>
              <w:t>Notes</w:t>
            </w:r>
          </w:p>
        </w:tc>
      </w:tr>
    </w:tbl>
    <w:p>
      <w:pPr>
        <w:pStyle w:val="Heading1"/>
      </w:pPr>
      <w:r>
        <w:t>Identity Review Process</w:t>
      </w:r>
    </w:p>
    <w:p>
      <w:pPr>
        <w:pStyle w:val="ListBullet"/>
      </w:pPr>
      <w:r>
        <w:t>Monthly privileged account review</w:t>
      </w:r>
    </w:p>
    <w:p>
      <w:pPr>
        <w:pStyle w:val="ListBullet"/>
      </w:pPr>
      <w:r>
        <w:t>Quarterly access review</w:t>
      </w:r>
    </w:p>
    <w:p>
      <w:pPr>
        <w:pStyle w:val="ListBullet"/>
      </w:pPr>
      <w:r>
        <w:t>Annual identity audit</w:t>
      </w:r>
    </w:p>
    <w:p>
      <w:pPr>
        <w:pStyle w:val="ListBullet"/>
      </w:pPr>
      <w:r>
        <w:t>Joiner / Mover / Leaver review</w:t>
      </w:r>
    </w:p>
    <w:p>
      <w:pPr>
        <w:pStyle w:val="ListBullet"/>
      </w:pPr>
      <w:r>
        <w:t>Security incident review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Engineering Environment Register</w:t>
      </w:r>
    </w:p>
    <w:p>
      <w:pPr>
        <w:pStyle w:val="ListBullet"/>
      </w:pPr>
      <w:r>
        <w:t>Technology Register</w:t>
      </w:r>
    </w:p>
    <w:p>
      <w:pPr>
        <w:pStyle w:val="ListBullet"/>
      </w:pPr>
      <w:r>
        <w:t>Secrets Register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SPOF Register</w:t>
      </w:r>
    </w:p>
    <w:p>
      <w:pPr>
        <w:pStyle w:val="ListBullet"/>
      </w:pPr>
      <w:r>
        <w:t>Business Continuity Plan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REG-006 Identity Register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