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REG-010</w:t>
        <w:br/>
        <w:t>Configuration Register</w:t>
      </w:r>
    </w:p>
    <w:p>
      <w:r>
        <w:t>Repository: tooling\ProgrammeManagement\02 Governance\\</w:t>
      </w:r>
    </w:p>
    <w:p>
      <w:r>
        <w:t>Filename: REG-010 Configuration Register.docx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REG-010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Configuration Register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tooling\ProgrammeManagement\02 Governance\\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REG-010 Configuration Register.docx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Configuration Item Classification</w:t>
      </w:r>
    </w:p>
    <w:p>
      <w:r>
        <w:t>8. Configuration Management Lifecycle</w:t>
      </w:r>
    </w:p>
    <w:p>
      <w:r>
        <w:t>9. Configuration Register</w:t>
      </w:r>
    </w:p>
    <w:p>
      <w:r>
        <w:t>10. Configuration Review Process</w:t>
      </w:r>
    </w:p>
    <w:p>
      <w:r>
        <w:t>11. Related Documents</w:t>
      </w:r>
    </w:p>
    <w:p>
      <w:r>
        <w:t>12. Appendices</w:t>
      </w:r>
    </w:p>
    <w:p>
      <w:pPr>
        <w:pStyle w:val="Heading1"/>
      </w:pPr>
      <w:r>
        <w:t>Purpose</w:t>
      </w:r>
    </w:p>
    <w:p>
      <w:r>
        <w:t>Define the controlled process for identifying, governing and maintaining Configuration Items (CIs).</w:t>
      </w:r>
    </w:p>
    <w:p>
      <w:pPr>
        <w:pStyle w:val="Heading1"/>
      </w:pPr>
      <w:r>
        <w:t>Scope</w:t>
      </w:r>
    </w:p>
    <w:p>
      <w:r>
        <w:t>Applies to software, documentation, repositories, databases, infrastructure, environments, services, scripts, registers, engineering artefacts, operational assets and supporting technologies.</w:t>
      </w:r>
    </w:p>
    <w:p>
      <w:pPr>
        <w:pStyle w:val="Heading1"/>
      </w:pPr>
      <w:r>
        <w:t>Configuration Item Classification</w:t>
      </w:r>
    </w:p>
    <w:p>
      <w:pPr>
        <w:pStyle w:val="ListBullet"/>
      </w:pPr>
      <w:r>
        <w:t>Engineering Document</w:t>
      </w:r>
    </w:p>
    <w:p>
      <w:pPr>
        <w:pStyle w:val="ListBullet"/>
      </w:pPr>
      <w:r>
        <w:t>Software Component</w:t>
      </w:r>
    </w:p>
    <w:p>
      <w:pPr>
        <w:pStyle w:val="ListBullet"/>
      </w:pPr>
      <w:r>
        <w:t>Repository</w:t>
      </w:r>
    </w:p>
    <w:p>
      <w:pPr>
        <w:pStyle w:val="ListBullet"/>
      </w:pPr>
      <w:r>
        <w:t>Database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Environment</w:t>
      </w:r>
    </w:p>
    <w:p>
      <w:pPr>
        <w:pStyle w:val="ListBullet"/>
      </w:pPr>
      <w:r>
        <w:t>Service</w:t>
      </w:r>
    </w:p>
    <w:p>
      <w:pPr>
        <w:pStyle w:val="ListBullet"/>
      </w:pPr>
      <w:r>
        <w:t>Script</w:t>
      </w:r>
    </w:p>
    <w:p>
      <w:pPr>
        <w:pStyle w:val="ListBullet"/>
      </w:pPr>
      <w:r>
        <w:t>Register</w:t>
      </w:r>
    </w:p>
    <w:p>
      <w:pPr>
        <w:pStyle w:val="ListBullet"/>
      </w:pPr>
      <w:r>
        <w:t>Configuration File</w:t>
      </w:r>
    </w:p>
    <w:p>
      <w:pPr>
        <w:pStyle w:val="ListBullet"/>
      </w:pPr>
      <w:r>
        <w:t>Build Artefact</w:t>
      </w:r>
    </w:p>
    <w:p>
      <w:pPr>
        <w:pStyle w:val="ListBullet"/>
      </w:pPr>
      <w:r>
        <w:t>Operational Asset</w:t>
      </w:r>
    </w:p>
    <w:p>
      <w:pPr>
        <w:pStyle w:val="Heading1"/>
      </w:pPr>
      <w:r>
        <w:t>Configuration Management Lifecycle</w:t>
      </w:r>
    </w:p>
    <w:p>
      <w:r>
        <w:t>Identify</w:t>
        <w:br/>
        <w:t>↓</w:t>
        <w:br/>
        <w:t>Register</w:t>
        <w:br/>
        <w:t>↓</w:t>
        <w:br/>
        <w:t>Baseline</w:t>
        <w:br/>
        <w:t>↓</w:t>
        <w:br/>
        <w:t>Change Control</w:t>
        <w:br/>
        <w:t>↓</w:t>
        <w:br/>
        <w:t>Review</w:t>
        <w:br/>
        <w:t>↓</w:t>
        <w:br/>
        <w:t>Audit</w:t>
        <w:br/>
        <w:t>↓</w:t>
        <w:br/>
        <w:t>Retire</w:t>
      </w:r>
    </w:p>
    <w:p>
      <w:pPr>
        <w:pStyle w:val="Heading1"/>
      </w:pPr>
      <w:r>
        <w:t>Configuration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Configuration Item ID</w:t>
            </w:r>
          </w:p>
        </w:tc>
        <w:tc>
          <w:tcPr>
            <w:tcW w:type="dxa" w:w="432"/>
          </w:tcPr>
          <w:p>
            <w:r>
              <w:t>Configuration Item Name</w:t>
            </w:r>
          </w:p>
        </w:tc>
        <w:tc>
          <w:tcPr>
            <w:tcW w:type="dxa" w:w="432"/>
          </w:tcPr>
          <w:p>
            <w:r>
              <w:t>Configuration Item Type</w:t>
            </w:r>
          </w:p>
        </w:tc>
        <w:tc>
          <w:tcPr>
            <w:tcW w:type="dxa" w:w="432"/>
          </w:tcPr>
          <w:p>
            <w:r>
              <w:t>Description</w:t>
            </w:r>
          </w:p>
        </w:tc>
        <w:tc>
          <w:tcPr>
            <w:tcW w:type="dxa" w:w="432"/>
          </w:tcPr>
          <w:p>
            <w:r>
              <w:t>Owner</w:t>
            </w:r>
          </w:p>
        </w:tc>
        <w:tc>
          <w:tcPr>
            <w:tcW w:type="dxa" w:w="432"/>
          </w:tcPr>
          <w:p>
            <w:r>
              <w:t>Repository Path</w:t>
            </w:r>
          </w:p>
        </w:tc>
        <w:tc>
          <w:tcPr>
            <w:tcW w:type="dxa" w:w="432"/>
          </w:tcPr>
          <w:p>
            <w:r>
              <w:t>Current Version</w:t>
            </w:r>
          </w:p>
        </w:tc>
        <w:tc>
          <w:tcPr>
            <w:tcW w:type="dxa" w:w="432"/>
          </w:tcPr>
          <w:p>
            <w:r>
              <w:t>Current Baseline</w:t>
            </w:r>
          </w:p>
        </w:tc>
        <w:tc>
          <w:tcPr>
            <w:tcW w:type="dxa" w:w="432"/>
          </w:tcPr>
          <w:p>
            <w:r>
              <w:t>Related Work Package</w:t>
            </w:r>
          </w:p>
        </w:tc>
        <w:tc>
          <w:tcPr>
            <w:tcW w:type="dxa" w:w="432"/>
          </w:tcPr>
          <w:p>
            <w:r>
              <w:t>Related Change Register Reference</w:t>
            </w:r>
          </w:p>
        </w:tc>
        <w:tc>
          <w:tcPr>
            <w:tcW w:type="dxa" w:w="432"/>
          </w:tcPr>
          <w:p>
            <w:r>
              <w:t>Related Technology Register Reference</w:t>
            </w:r>
          </w:p>
        </w:tc>
        <w:tc>
          <w:tcPr>
            <w:tcW w:type="dxa" w:w="432"/>
          </w:tcPr>
          <w:p>
            <w:r>
              <w:t>Related Environment Register Reference</w:t>
            </w:r>
          </w:p>
        </w:tc>
        <w:tc>
          <w:tcPr>
            <w:tcW w:type="dxa" w:w="432"/>
          </w:tcPr>
          <w:p>
            <w:r>
              <w:t>Related Risk Register Reference</w:t>
            </w:r>
          </w:p>
        </w:tc>
        <w:tc>
          <w:tcPr>
            <w:tcW w:type="dxa" w:w="432"/>
          </w:tcPr>
          <w:p>
            <w:r>
              <w:t>Operational Status</w:t>
            </w:r>
          </w:p>
        </w:tc>
        <w:tc>
          <w:tcPr>
            <w:tcW w:type="dxa" w:w="432"/>
          </w:tcPr>
          <w:p>
            <w:r>
              <w:t>Last Configuration Audit</w:t>
            </w:r>
          </w:p>
        </w:tc>
        <w:tc>
          <w:tcPr>
            <w:tcW w:type="dxa" w:w="432"/>
          </w:tcPr>
          <w:p>
            <w:r>
              <w:t>Next Configuration Audit</w:t>
            </w:r>
          </w:p>
        </w:tc>
        <w:tc>
          <w:tcPr>
            <w:tcW w:type="dxa" w:w="432"/>
          </w:tcPr>
          <w:p>
            <w:r>
              <w:t>Configuration Validation Status</w:t>
            </w:r>
          </w:p>
        </w:tc>
        <w:tc>
          <w:tcPr>
            <w:tcW w:type="dxa" w:w="432"/>
          </w:tcPr>
          <w:p>
            <w:r>
              <w:t>Last Review</w:t>
            </w:r>
          </w:p>
        </w:tc>
        <w:tc>
          <w:tcPr>
            <w:tcW w:type="dxa" w:w="432"/>
          </w:tcPr>
          <w:p>
            <w:r>
              <w:t>Next Review</w:t>
            </w:r>
          </w:p>
        </w:tc>
        <w:tc>
          <w:tcPr>
            <w:tcW w:type="dxa" w:w="432"/>
          </w:tcPr>
          <w:p>
            <w:r>
              <w:t>Notes</w:t>
            </w:r>
          </w:p>
        </w:tc>
      </w:tr>
    </w:tbl>
    <w:p>
      <w:pPr>
        <w:pStyle w:val="Heading1"/>
      </w:pPr>
      <w:r>
        <w:t>Configuration Review Process</w:t>
      </w:r>
    </w:p>
    <w:p>
      <w:pPr>
        <w:pStyle w:val="ListBullet"/>
      </w:pPr>
      <w:r>
        <w:t>Monthly configuration review</w:t>
      </w:r>
    </w:p>
    <w:p>
      <w:pPr>
        <w:pStyle w:val="ListBullet"/>
      </w:pPr>
      <w:r>
        <w:t>Baseline verification</w:t>
      </w:r>
    </w:p>
    <w:p>
      <w:pPr>
        <w:pStyle w:val="ListBullet"/>
      </w:pPr>
      <w:r>
        <w:t>Engineering audit</w:t>
      </w:r>
    </w:p>
    <w:p>
      <w:pPr>
        <w:pStyle w:val="ListBullet"/>
      </w:pPr>
      <w:r>
        <w:t>Pre-release verification</w:t>
      </w:r>
    </w:p>
    <w:p>
      <w:pPr>
        <w:pStyle w:val="ListBullet"/>
      </w:pPr>
      <w:r>
        <w:t>Disaster recovery verification</w:t>
      </w:r>
    </w:p>
    <w:p>
      <w:pPr>
        <w:pStyle w:val="ListBullet"/>
      </w:pPr>
      <w:r>
        <w:t>Annual configuration audit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Policies</w:t>
      </w:r>
    </w:p>
    <w:p>
      <w:pPr>
        <w:pStyle w:val="ListBullet"/>
      </w:pPr>
      <w:r>
        <w:t>Programme Control Book</w:t>
      </w:r>
    </w:p>
    <w:p>
      <w:pPr>
        <w:pStyle w:val="ListBullet"/>
      </w:pPr>
      <w:r>
        <w:t>Engineering Configuration Management Database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Technology Register</w:t>
      </w:r>
    </w:p>
    <w:p>
      <w:pPr>
        <w:pStyle w:val="ListBullet"/>
      </w:pPr>
      <w:r>
        <w:t>Engineering Environment Register</w:t>
      </w:r>
    </w:p>
    <w:p>
      <w:pPr>
        <w:pStyle w:val="ListBullet"/>
      </w:pPr>
      <w:r>
        <w:t>Change Register</w:t>
      </w:r>
    </w:p>
    <w:p>
      <w:pPr>
        <w:pStyle w:val="ListBullet"/>
      </w:pPr>
      <w:r>
        <w:t>Engineering Debt Register</w:t>
      </w:r>
    </w:p>
    <w:p>
      <w:pPr>
        <w:pStyle w:val="ListBullet"/>
      </w:pPr>
      <w:r>
        <w:t>Technical Debt Register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REG-010 Configuration Register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