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RMD-001</w:t>
        <w:br/>
        <w:t>Programme Roadmap</w:t>
      </w:r>
    </w:p>
    <w:p>
      <w:r>
        <w:t>Repository: tooling\ProgrammeManagement\01 Roadmap\</w:t>
      </w:r>
    </w:p>
    <w:p>
      <w:r>
        <w:t>Filename: RMD-001 Programme Roadmap.docx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RMD-001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Programme Roadmap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tooling\ProgrammeManagement\01 Roadmap\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RMD-001 Programme Roadmap.docx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Programme Vision</w:t>
      </w:r>
    </w:p>
    <w:p>
      <w:r>
        <w:t>7. Current Programme Position</w:t>
      </w:r>
    </w:p>
    <w:p>
      <w:r>
        <w:t>8. Programme Phases</w:t>
      </w:r>
    </w:p>
    <w:p>
      <w:r>
        <w:t>9. Major Milestones</w:t>
      </w:r>
    </w:p>
    <w:p>
      <w:r>
        <w:t>10. Critical Path Overview</w:t>
      </w:r>
    </w:p>
    <w:p>
      <w:r>
        <w:t>11. Strategic Workstreams</w:t>
      </w:r>
    </w:p>
    <w:p>
      <w:r>
        <w:t>12. Dependencies</w:t>
      </w:r>
    </w:p>
    <w:p>
      <w:r>
        <w:t>13. Success Measures</w:t>
      </w:r>
    </w:p>
    <w:p>
      <w:r>
        <w:t>14. Roadmap Review</w:t>
      </w:r>
    </w:p>
    <w:p>
      <w:r>
        <w:t>15. Related Documents</w:t>
      </w:r>
    </w:p>
    <w:p>
      <w:r>
        <w:t>16. Appendices</w:t>
      </w:r>
    </w:p>
    <w:p>
      <w:pPr>
        <w:pStyle w:val="Heading1"/>
      </w:pPr>
      <w:r>
        <w:t>Purpose</w:t>
      </w:r>
    </w:p>
    <w:p>
      <w:r>
        <w:t>Describe the long-term strategic direction of the JustDefenders programme.</w:t>
      </w:r>
    </w:p>
    <w:p>
      <w:pPr>
        <w:pStyle w:val="Heading1"/>
      </w:pPr>
      <w:r>
        <w:t>Programme Vision</w:t>
      </w:r>
    </w:p>
    <w:p>
      <w:r>
        <w:t>Build the world's leading intelligence platform for the global Land Rover Defender community, delivering value to owners, clubs, suppliers and commercial partners.</w:t>
      </w:r>
    </w:p>
    <w:p>
      <w:pPr>
        <w:pStyle w:val="Heading1"/>
      </w:pPr>
      <w:r>
        <w:t>Current Programme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Current Programme Phase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Current Engineering Baseline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Current Branch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Current Work Package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Current Objective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Programme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Primary Deliverables</w:t>
            </w:r>
          </w:p>
        </w:tc>
        <w:tc>
          <w:tcPr>
            <w:tcW w:type="dxa" w:w="2160"/>
          </w:tcPr>
          <w:p>
            <w:r>
              <w:t>Exit Criteria</w:t>
            </w:r>
          </w:p>
        </w:tc>
      </w:tr>
      <w:tr>
        <w:tc>
          <w:tcPr>
            <w:tcW w:type="dxa" w:w="2160"/>
          </w:tcPr>
          <w:p>
            <w:r>
              <w:t>Foundation Engineering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Alpha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Beta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Operational Evolution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Major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Milestone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</w:tbl>
    <w:p>
      <w:pPr>
        <w:pStyle w:val="Heading1"/>
      </w:pPr>
      <w:r>
        <w:t>Critical Path Overview</w:t>
      </w:r>
    </w:p>
    <w:p>
      <w:r>
        <w:t>Major activities progress through Foundation Engineering, Alpha readiness, production validation, release governance and operational maturity.</w:t>
      </w:r>
    </w:p>
    <w:p>
      <w:pPr>
        <w:pStyle w:val="Heading1"/>
      </w:pPr>
      <w:r>
        <w:t>Strategic Workstreams</w:t>
      </w:r>
    </w:p>
    <w:p>
      <w:pPr>
        <w:pStyle w:val="ListBullet"/>
      </w:pPr>
      <w:r>
        <w:t>Programme Management</w:t>
      </w:r>
    </w:p>
    <w:p>
      <w:pPr>
        <w:pStyle w:val="ListBullet"/>
      </w:pPr>
      <w:r>
        <w:t>Foundation Engineering</w:t>
      </w:r>
    </w:p>
    <w:p>
      <w:pPr>
        <w:pStyle w:val="ListBullet"/>
      </w:pPr>
      <w:r>
        <w:t>Platform Development</w:t>
      </w:r>
    </w:p>
    <w:p>
      <w:pPr>
        <w:pStyle w:val="ListBullet"/>
      </w:pPr>
      <w:r>
        <w:t>Security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Operations</w:t>
      </w:r>
    </w:p>
    <w:p>
      <w:pPr>
        <w:pStyle w:val="ListBullet"/>
      </w:pPr>
      <w:r>
        <w:t>Disaster Recovery</w:t>
      </w:r>
    </w:p>
    <w:p>
      <w:pPr>
        <w:pStyle w:val="ListBullet"/>
      </w:pPr>
      <w:r>
        <w:t>Mobile Platform</w:t>
      </w:r>
    </w:p>
    <w:p>
      <w:pPr>
        <w:pStyle w:val="ListBullet"/>
      </w:pPr>
      <w:r>
        <w:t>Supplier Intelligence</w:t>
      </w:r>
    </w:p>
    <w:p>
      <w:pPr>
        <w:pStyle w:val="ListBullet"/>
      </w:pPr>
      <w:r>
        <w:t>Knowledge Platform</w:t>
      </w:r>
    </w:p>
    <w:p>
      <w:pPr>
        <w:pStyle w:val="ListBullet"/>
      </w:pPr>
      <w:r>
        <w:t>Community Platform</w:t>
      </w:r>
    </w:p>
    <w:p>
      <w:pPr>
        <w:pStyle w:val="ListBullet"/>
      </w:pPr>
      <w:r>
        <w:t>Commercial Platform</w:t>
      </w:r>
    </w:p>
    <w:p>
      <w:pPr>
        <w:pStyle w:val="Heading1"/>
      </w:pPr>
      <w:r>
        <w:t>Dependencies</w:t>
      </w:r>
    </w:p>
    <w:p>
      <w:r>
        <w:t>Programme delivery depends on coordinated engineering governance, approved work packages, controlled baselines, repository management, infrastructure, external services and stakeholder participation.</w:t>
      </w:r>
    </w:p>
    <w:p>
      <w:pPr>
        <w:pStyle w:val="Heading1"/>
      </w:pPr>
      <w:r>
        <w:t>Success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Success Measure</w:t>
            </w:r>
          </w:p>
        </w:tc>
      </w:tr>
      <w:tr>
        <w:tc>
          <w:tcPr>
            <w:tcW w:type="dxa" w:w="4320"/>
          </w:tcPr>
          <w:p>
            <w:r>
              <w:t>Foundation Engineering</w:t>
            </w:r>
          </w:p>
        </w:tc>
        <w:tc>
          <w:tcPr>
            <w:tcW w:type="dxa" w:w="4320"/>
          </w:tcPr>
          <w:p>
            <w:r>
              <w:t>Controlled engineering baseline established.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Core capabilities validated.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Validated with representative users.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>
              <w:t>Operational production readiness achieved.</w:t>
            </w:r>
          </w:p>
        </w:tc>
      </w:tr>
      <w:tr>
        <w:tc>
          <w:tcPr>
            <w:tcW w:type="dxa" w:w="4320"/>
          </w:tcPr>
          <w:p>
            <w:r>
              <w:t>Operational Evolution</w:t>
            </w:r>
          </w:p>
        </w:tc>
        <w:tc>
          <w:tcPr>
            <w:tcW w:type="dxa" w:w="4320"/>
          </w:tcPr>
          <w:p>
            <w:r>
              <w:t>Continuous controlled improvement maintained.</w:t>
            </w:r>
          </w:p>
        </w:tc>
      </w:tr>
    </w:tbl>
    <w:p>
      <w:pPr>
        <w:pStyle w:val="Heading1"/>
      </w:pPr>
      <w:r>
        <w:t>Roadmap Review</w:t>
      </w:r>
    </w:p>
    <w:p>
      <w:r>
        <w:t>The roadmap is reviewed regularly by the Programme Office and updated through controlled engineering change.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Charter</w:t>
      </w:r>
    </w:p>
    <w:p>
      <w:pPr>
        <w:pStyle w:val="ListBullet"/>
      </w:pPr>
      <w:r>
        <w:t>Programme History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Engineering Configuration Management Database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RMD-001 Programme Roadmap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