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SMS-008</w:t>
        <w:br/>
        <w:t>Security Risk Assessment</w:t>
      </w:r>
    </w:p>
    <w:p>
      <w:r>
        <w:t>JustDefenders Programme Management System</w:t>
        <w:br/>
        <w:br/>
        <w:t>Repository: tooling\ProgrammeManagement\10 Security\</w:t>
        <w:br/>
        <w:t>Filename: SMS-008 Security Risk Assessment.docx</w:t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Update in Microsoft Word using References → Table of Contents.</w:t>
      </w:r>
    </w:p>
    <w:p>
      <w:pPr>
        <w:pStyle w:val="Heading1"/>
      </w:pPr>
      <w:r>
        <w:t>Purpose</w:t>
      </w:r>
    </w:p>
    <w:p>
      <w:r>
        <w:t>Define the programme-wide Security Risk Assessment methodology.</w:t>
      </w:r>
    </w:p>
    <w:p>
      <w:pPr>
        <w:pStyle w:val="Heading1"/>
      </w:pPr>
      <w:r>
        <w:t>Scope</w:t>
      </w:r>
    </w:p>
    <w:p>
      <w:r>
        <w:t>Applies to governance, engineering, software, infrastructure, cloud services, repositories, suppliers, operational processes and all controlled programme information.</w:t>
      </w:r>
    </w:p>
    <w:p>
      <w:pPr>
        <w:pStyle w:val="Heading1"/>
      </w:pPr>
      <w:r>
        <w:t>Risk Management Principles</w:t>
      </w:r>
    </w:p>
    <w:p>
      <w:r>
        <w:t>• Risk-Based Decision Making</w:t>
        <w:br/>
        <w:t>• Defence in Depth</w:t>
        <w:br/>
        <w:t>• Proportionality</w:t>
        <w:br/>
        <w:t>• Evidence-Based Assessment</w:t>
        <w:br/>
        <w:t>• Continual Monitoring</w:t>
        <w:br/>
        <w:t>• Accountability</w:t>
        <w:br/>
        <w:t>• Traceability</w:t>
        <w:br/>
        <w:t>• Continual Improvement</w:t>
      </w:r>
    </w:p>
    <w:p>
      <w:pPr>
        <w:pStyle w:val="Heading1"/>
      </w:pPr>
      <w:r>
        <w:t>Risk Assessment Framework</w:t>
      </w:r>
    </w:p>
    <w:p>
      <w:r>
        <w:t>Describe the end-to-end assessment lifecycle from identification through continual review.</w:t>
      </w:r>
    </w:p>
    <w:p>
      <w:pPr>
        <w:pStyle w:val="Heading1"/>
      </w:pPr>
      <w:r>
        <w:t>Risk Identification</w:t>
      </w:r>
    </w:p>
    <w:p>
      <w:r>
        <w:t>Use identification techniques, information sources, threat intelligence, audits, incidents and vulnerability assessments.</w:t>
      </w:r>
    </w:p>
    <w:p>
      <w:pPr>
        <w:pStyle w:val="Heading1"/>
      </w:pPr>
      <w:r>
        <w:t>Risk Analysis</w:t>
      </w:r>
    </w:p>
    <w:p>
      <w:r>
        <w:t>Assess likelihood, consequence, business impact and existing controls.</w:t>
      </w:r>
    </w:p>
    <w:p>
      <w:pPr>
        <w:pStyle w:val="Heading1"/>
      </w:pPr>
      <w:r>
        <w:t>Risk Evaluation</w:t>
      </w:r>
    </w:p>
    <w:p>
      <w:r>
        <w:t>Determine risk rating, prioritisation and treatment thresholds.</w:t>
      </w:r>
    </w:p>
    <w:p>
      <w:pPr>
        <w:pStyle w:val="Heading1"/>
      </w:pPr>
      <w:r>
        <w:t>Risk Treatment</w:t>
      </w:r>
    </w:p>
    <w:p>
      <w:r>
        <w:t>Apply mitigation, transfer, avoidance or acceptance strategies.</w:t>
      </w:r>
    </w:p>
    <w:p>
      <w:pPr>
        <w:pStyle w:val="Heading1"/>
      </w:pPr>
      <w:r>
        <w:t>Risk Acceptance</w:t>
      </w:r>
    </w:p>
    <w:p>
      <w:r>
        <w:t>Document approval authority and acceptance requirements.</w:t>
      </w:r>
    </w:p>
    <w:p>
      <w:pPr>
        <w:pStyle w:val="Heading1"/>
      </w:pPr>
      <w:r>
        <w:t>Risk Monitoring</w:t>
      </w:r>
    </w:p>
    <w:p>
      <w:r>
        <w:t>Review risks periodically and reassess following significant changes or events.</w:t>
      </w:r>
    </w:p>
    <w:p>
      <w:pPr>
        <w:pStyle w:val="Heading1"/>
      </w:pPr>
      <w:r>
        <w:t>Risk Reporting</w:t>
      </w:r>
    </w:p>
    <w:p>
      <w:r>
        <w:t>Provide governance reporting, escalation and management visibility.</w:t>
      </w:r>
    </w:p>
    <w:p>
      <w:pPr>
        <w:pStyle w:val="Heading1"/>
      </w:pPr>
      <w:r>
        <w:t>Roles and Responsibilities</w:t>
      </w:r>
    </w:p>
    <w:p>
      <w:r>
        <w:t>Define responsibilities for the Programme Office, risk owners, engineering teams, security coordinators and management.</w:t>
      </w:r>
    </w:p>
    <w:p>
      <w:pPr>
        <w:pStyle w:val="Heading1"/>
      </w:pPr>
      <w:r>
        <w:t>Integration with Security Registers</w:t>
      </w:r>
    </w:p>
    <w:p>
      <w:r>
        <w:t>Maintain relationships with SMS-004 Identity and Access Register, SMS-005 Security Incident Register and SMS-006 Vulnerability Register.</w:t>
      </w:r>
    </w:p>
    <w:p>
      <w:pPr>
        <w:pStyle w:val="Heading1"/>
      </w:pPr>
      <w:r>
        <w:t>Management Review</w:t>
      </w:r>
    </w:p>
    <w:p>
      <w:r>
        <w:t>Provide governance oversight and periodic review of security risks.</w:t>
      </w:r>
    </w:p>
    <w:p>
      <w:pPr>
        <w:pStyle w:val="Heading1"/>
      </w:pPr>
      <w:r>
        <w:t>Continual Improvement</w:t>
      </w:r>
    </w:p>
    <w:p>
      <w:r>
        <w:t>Incorporate lessons learned, metrics, maturity assessments and continual improvement.</w:t>
      </w:r>
    </w:p>
    <w:p>
      <w:pPr>
        <w:pStyle w:val="Heading1"/>
      </w:pPr>
      <w:r>
        <w:t>Related Documents</w:t>
      </w:r>
    </w:p>
    <w:p>
      <w:r>
        <w:t>SMS-001 through SMS-007</w:t>
        <w:br/>
        <w:t>Quality Foundation</w:t>
        <w:br/>
        <w:t>Engineering Standards Foundation</w:t>
      </w:r>
    </w:p>
    <w:p>
      <w:pPr>
        <w:pStyle w:val="Heading1"/>
      </w:pPr>
      <w:r>
        <w:t>Appendices</w:t>
      </w:r>
    </w:p>
    <w:p>
      <w:r>
        <w:t>Reserved for supporting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