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ARC-004</w:t>
        <w:br/>
        <w:t>Integration Architecture</w:t>
      </w:r>
    </w:p>
    <w:p>
      <w:r>
        <w:t>Repository: tooling\ProgrammeManagement\05 Architecture\\</w:t>
      </w:r>
    </w:p>
    <w:p>
      <w:r>
        <w:t>Filename: ARC-004 Integration Architecture.docx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ARC-004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Integration Architecture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tooling\ProgrammeManagement\05 Architecture\\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ARC-004 Integration Architecture.docx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Integration Architecture Principles</w:t>
      </w:r>
    </w:p>
    <w:p>
      <w:r>
        <w:t>8. Integration Overview</w:t>
      </w:r>
    </w:p>
    <w:p>
      <w:r>
        <w:t>9. Internal Integration Architecture</w:t>
      </w:r>
    </w:p>
    <w:p>
      <w:r>
        <w:t>10. External Integration Architecture</w:t>
      </w:r>
    </w:p>
    <w:p>
      <w:r>
        <w:t>11. API Architecture</w:t>
      </w:r>
    </w:p>
    <w:p>
      <w:r>
        <w:t>12. Messaging and Event Architecture</w:t>
      </w:r>
    </w:p>
    <w:p>
      <w:r>
        <w:t>13. Integration Security</w:t>
      </w:r>
    </w:p>
    <w:p>
      <w:r>
        <w:t>14. Integration Governance</w:t>
      </w:r>
    </w:p>
    <w:p>
      <w:r>
        <w:t>15. Monitoring and Observability</w:t>
      </w:r>
    </w:p>
    <w:p>
      <w:r>
        <w:t>16. Architecture Review Process</w:t>
      </w:r>
    </w:p>
    <w:p>
      <w:r>
        <w:t>17. Related Documents</w:t>
      </w:r>
    </w:p>
    <w:p>
      <w:r>
        <w:t>18. Appendices</w:t>
      </w:r>
    </w:p>
    <w:p>
      <w:pPr>
        <w:pStyle w:val="Heading1"/>
      </w:pPr>
      <w:r>
        <w:t>Purpose</w:t>
      </w:r>
    </w:p>
    <w:p>
      <w:r>
        <w:t>Define the architectural approach for integrating platform services, external systems and supporting engineering capabilities.</w:t>
      </w:r>
    </w:p>
    <w:p>
      <w:pPr>
        <w:pStyle w:val="Heading1"/>
      </w:pPr>
      <w:r>
        <w:t>Scope</w:t>
      </w:r>
    </w:p>
    <w:p>
      <w:r>
        <w:t>Applies to internal platform services, APIs, event-driven integrations, third-party services, cloud platforms, operational tooling and external engineering systems.</w:t>
      </w:r>
    </w:p>
    <w:p>
      <w:pPr>
        <w:pStyle w:val="Heading1"/>
      </w:pPr>
      <w:r>
        <w:t>Integration Architecture Principles</w:t>
      </w:r>
    </w:p>
    <w:p>
      <w:pPr>
        <w:pStyle w:val="ListBullet"/>
      </w:pPr>
      <w:r>
        <w:t>Loose Coupling</w:t>
      </w:r>
    </w:p>
    <w:p>
      <w:pPr>
        <w:pStyle w:val="ListBullet"/>
      </w:pPr>
      <w:r>
        <w:t>Standard Interfaces</w:t>
      </w:r>
    </w:p>
    <w:p>
      <w:pPr>
        <w:pStyle w:val="ListBullet"/>
      </w:pPr>
      <w:r>
        <w:t>API First</w:t>
      </w:r>
    </w:p>
    <w:p>
      <w:pPr>
        <w:pStyle w:val="ListBullet"/>
      </w:pPr>
      <w:r>
        <w:t>Event Driven Integration</w:t>
      </w:r>
    </w:p>
    <w:p>
      <w:pPr>
        <w:pStyle w:val="ListBullet"/>
      </w:pPr>
      <w:r>
        <w:t>Security by Design</w:t>
      </w:r>
    </w:p>
    <w:p>
      <w:pPr>
        <w:pStyle w:val="ListBullet"/>
      </w:pPr>
      <w:r>
        <w:t>Fault Tolerance</w:t>
      </w:r>
    </w:p>
    <w:p>
      <w:pPr>
        <w:pStyle w:val="ListBullet"/>
      </w:pPr>
      <w:r>
        <w:t>Version Management</w:t>
      </w:r>
    </w:p>
    <w:p>
      <w:pPr>
        <w:pStyle w:val="ListBullet"/>
      </w:pPr>
      <w:r>
        <w:t>Observability</w:t>
      </w:r>
    </w:p>
    <w:p>
      <w:pPr>
        <w:pStyle w:val="Heading1"/>
      </w:pPr>
      <w:r>
        <w:t>Integration Overview</w:t>
      </w:r>
    </w:p>
    <w:p>
      <w:r>
        <w:t>Describe the logical integration landscape supporting the programme.</w:t>
      </w:r>
    </w:p>
    <w:p>
      <w:pPr>
        <w:pStyle w:val="Heading1"/>
      </w:pPr>
      <w:r>
        <w:t>Internal Integration Architecture</w:t>
      </w:r>
    </w:p>
    <w:p>
      <w:r>
        <w:t>Describe integration between internal platform services and components.</w:t>
      </w:r>
    </w:p>
    <w:p>
      <w:pPr>
        <w:pStyle w:val="Heading1"/>
      </w:pPr>
      <w:r>
        <w:t>External Integration Architecture</w:t>
      </w:r>
    </w:p>
    <w:p>
      <w:r>
        <w:t>Describe integration with external systems, suppliers and cloud platforms.</w:t>
      </w:r>
    </w:p>
    <w:p>
      <w:pPr>
        <w:pStyle w:val="Heading1"/>
      </w:pPr>
      <w:r>
        <w:t>API Architecture</w:t>
      </w:r>
    </w:p>
    <w:p>
      <w:r>
        <w:t>Describe API design principles, versioning, authentication and lifecycle management.</w:t>
      </w:r>
    </w:p>
    <w:p>
      <w:pPr>
        <w:pStyle w:val="Heading1"/>
      </w:pPr>
      <w:r>
        <w:t>Messaging and Event Architecture</w:t>
      </w:r>
    </w:p>
    <w:p>
      <w:r>
        <w:t>Describe asynchronous messaging, event handling and communication patterns.</w:t>
      </w:r>
    </w:p>
    <w:p>
      <w:pPr>
        <w:pStyle w:val="Heading1"/>
      </w:pPr>
      <w:r>
        <w:t>Integration Security</w:t>
      </w:r>
    </w:p>
    <w:p>
      <w:r>
        <w:t>Describe authentication, authorisation, encryption and secure communication requirements.</w:t>
      </w:r>
    </w:p>
    <w:p>
      <w:pPr>
        <w:pStyle w:val="Heading1"/>
      </w:pPr>
      <w:r>
        <w:t>Integration Governance</w:t>
      </w:r>
    </w:p>
    <w:p>
      <w:r>
        <w:t>Describe ownership, approval, review and lifecycle management of integrations.</w:t>
      </w:r>
    </w:p>
    <w:p>
      <w:pPr>
        <w:pStyle w:val="Heading1"/>
      </w:pPr>
      <w:r>
        <w:t>Monitoring and Observability</w:t>
      </w:r>
    </w:p>
    <w:p>
      <w:r>
        <w:t>Describe monitoring, logging, tracing, alerting and operational visibility for integrations.</w:t>
      </w:r>
    </w:p>
    <w:p>
      <w:pPr>
        <w:pStyle w:val="Heading1"/>
      </w:pPr>
      <w:r>
        <w:t>Architecture Review Process</w:t>
      </w:r>
    </w:p>
    <w:p>
      <w:r>
        <w:t>Describe scheduled integration architecture reviews and continuous improvement.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Solution Architecture</w:t>
      </w:r>
    </w:p>
    <w:p>
      <w:pPr>
        <w:pStyle w:val="ListBullet"/>
      </w:pPr>
      <w:r>
        <w:t>Platform Architecture</w:t>
      </w:r>
    </w:p>
    <w:p>
      <w:pPr>
        <w:pStyle w:val="ListBullet"/>
      </w:pPr>
      <w:r>
        <w:t>Security Architecture</w:t>
      </w:r>
    </w:p>
    <w:p>
      <w:pPr>
        <w:pStyle w:val="ListBullet"/>
      </w:pPr>
      <w:r>
        <w:t>Data Architecture</w:t>
      </w:r>
    </w:p>
    <w:p>
      <w:pPr>
        <w:pStyle w:val="ListBullet"/>
      </w:pPr>
      <w:r>
        <w:t>Operations Manual</w:t>
      </w:r>
    </w:p>
    <w:p>
      <w:pPr>
        <w:pStyle w:val="ListBullet"/>
      </w:pPr>
      <w:r>
        <w:t>Configuration Register</w:t>
      </w:r>
    </w:p>
    <w:p>
      <w:pPr>
        <w:pStyle w:val="ListBullet"/>
      </w:pPr>
      <w:r>
        <w:t>Change Register</w:t>
      </w:r>
    </w:p>
    <w:p>
      <w:pPr>
        <w:pStyle w:val="ListBullet"/>
      </w:pPr>
      <w:r>
        <w:t>Technology Register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ARC-004 Integration Architecture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