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ENG-003 Design Authority Procedure</w:t>
      </w:r>
    </w:p>
    <w:p>
      <w:r>
        <w:t>JustDefenders® Programme Management System</w:t>
      </w:r>
    </w:p>
    <w:p>
      <w:pPr>
        <w:pStyle w:val="Heading1"/>
      </w:pPr>
      <w:r>
        <w:t>Engineering Control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ENG-003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Design Authority Procedure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tooling\ProgrammeManagement\08 Engineering\\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ENG-003 Design Authority Procedure.docx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Engineering Foundation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Purpose; Scope; Design Authority Principles; Design Authority Governance; Design Authority Roles; Decision Categories; Design Review Process; Approval Process; Decision Recording; Design Changes; Exception Management; Compliance; Related Documents; Appendices.</w:t>
      </w:r>
    </w:p>
    <w:p>
      <w:pPr>
        <w:pStyle w:val="Heading1"/>
      </w:pPr>
      <w:r>
        <w:t>Purpose</w:t>
      </w:r>
    </w:p>
    <w:p>
      <w:r>
        <w:t>Define the programme-wide Design Authority Procedure.</w:t>
      </w:r>
    </w:p>
    <w:p>
      <w:pPr>
        <w:pStyle w:val="Heading1"/>
      </w:pPr>
      <w:r>
        <w:t>Scope</w:t>
      </w:r>
    </w:p>
    <w:p>
      <w:r>
        <w:t>Applies to software, infrastructure, architecture, automation, security, operational engineering and significant technical design decisions.</w:t>
      </w:r>
    </w:p>
    <w:p>
      <w:pPr>
        <w:pStyle w:val="Heading1"/>
      </w:pPr>
      <w:r>
        <w:t>Design Authority Principles</w:t>
      </w:r>
    </w:p>
    <w:p>
      <w:r>
        <w:t>Technical Excellence; Evidence-Based Decisions; Architectural Integrity; Traceability; Accountability; Risk-Based Evaluation; Cross-Functional Review; Continual Improvement.</w:t>
      </w:r>
    </w:p>
    <w:p>
      <w:pPr>
        <w:pStyle w:val="Heading1"/>
      </w:pPr>
      <w:r>
        <w:t>Design Authority Governance</w:t>
      </w:r>
    </w:p>
    <w:p>
      <w:r>
        <w:t>Defines governance structure, authority, quorum and approval responsibilities.</w:t>
      </w:r>
    </w:p>
    <w:p>
      <w:pPr>
        <w:pStyle w:val="Heading1"/>
      </w:pPr>
      <w:r>
        <w:t>Design Authority Roles</w:t>
      </w:r>
    </w:p>
    <w:p>
      <w:r>
        <w:t>Programme Office, Design Authority Chair, Solution Architects, Technical Leads, Engineering Manager, Reviewers and Subject Matter Experts.</w:t>
      </w:r>
    </w:p>
    <w:p>
      <w:pPr>
        <w:pStyle w:val="Heading1"/>
      </w:pPr>
      <w:r>
        <w:t>Decision Categories</w:t>
      </w:r>
    </w:p>
    <w:p>
      <w:r>
        <w:t>Strategic, architectural, engineering, operational and emergency technical decisions.</w:t>
      </w:r>
    </w:p>
    <w:p>
      <w:pPr>
        <w:pStyle w:val="Heading1"/>
      </w:pPr>
      <w:r>
        <w:t>Design Review Process</w:t>
      </w:r>
    </w:p>
    <w:p>
      <w:r>
        <w:t>Submission, assessment, review meetings, technical evaluation and recommendations.</w:t>
      </w:r>
    </w:p>
    <w:p>
      <w:pPr>
        <w:pStyle w:val="Heading1"/>
      </w:pPr>
      <w:r>
        <w:t>Approval Process</w:t>
      </w:r>
    </w:p>
    <w:p>
      <w:r>
        <w:t>Approvals, conditional approvals, rework and rejection.</w:t>
      </w:r>
    </w:p>
    <w:p>
      <w:pPr>
        <w:pStyle w:val="Heading1"/>
      </w:pPr>
      <w:r>
        <w:t>Decision Recording</w:t>
      </w:r>
    </w:p>
    <w:p>
      <w:r>
        <w:t>Engineering decision records, rationale, approvals and traceability.</w:t>
      </w:r>
    </w:p>
    <w:p>
      <w:pPr>
        <w:pStyle w:val="Heading1"/>
      </w:pPr>
      <w:r>
        <w:t>Design Changes</w:t>
      </w:r>
    </w:p>
    <w:p>
      <w:r>
        <w:t>Management of approved design changes under configuration control.</w:t>
      </w:r>
    </w:p>
    <w:p>
      <w:pPr>
        <w:pStyle w:val="Heading1"/>
      </w:pPr>
      <w:r>
        <w:t>Exception Management</w:t>
      </w:r>
    </w:p>
    <w:p>
      <w:r>
        <w:t>Handling and approval of documented procedure exceptions.</w:t>
      </w:r>
    </w:p>
    <w:p>
      <w:pPr>
        <w:pStyle w:val="Heading1"/>
      </w:pPr>
      <w:r>
        <w:t>Compliance</w:t>
      </w:r>
    </w:p>
    <w:p>
      <w:r>
        <w:t>Audits, monitoring and governance reporting.</w:t>
      </w:r>
    </w:p>
    <w:p>
      <w:pPr>
        <w:pStyle w:val="Heading1"/>
      </w:pPr>
      <w:r>
        <w:t>Related Documents</w:t>
      </w:r>
    </w:p>
    <w:p>
      <w:r>
        <w:t>ENG-001 Engineering Management Manual; ENG-002 Engineering Lifecycle Policy; Architecture Foundation; Engineering Standards Foundation; Quality Foundation; Security Foundation; Delivery Foundation.</w:t>
      </w:r>
    </w:p>
    <w:p>
      <w:pPr>
        <w:pStyle w:val="Heading1"/>
      </w:pPr>
      <w:r>
        <w:t>Appendices</w:t>
      </w:r>
    </w:p>
    <w:p>
      <w:r>
        <w:t>Reserved for controlled appendices.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