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RSK-001 Risk Management Manual</w:t>
      </w:r>
    </w:p>
    <w:p>
      <w:r>
        <w:rPr>
          <w:b/>
        </w:rPr>
        <w:t xml:space="preserve">Document ID: </w:t>
      </w:r>
      <w:r>
        <w:t>RSK-001</w:t>
        <w:br/>
      </w:r>
      <w:r>
        <w:rPr>
          <w:b/>
        </w:rPr>
        <w:t xml:space="preserve">Title: </w:t>
      </w:r>
      <w:r>
        <w:t>Risk Management Manual</w:t>
      </w:r>
    </w:p>
    <w:p>
      <w:pPr>
        <w:pStyle w:val="Heading2"/>
      </w:pPr>
      <w:r>
        <w:t>1. Purpose</w:t>
      </w:r>
    </w:p>
    <w:p>
      <w:r>
        <w:rPr>
          <w:sz w:val="21"/>
        </w:rPr>
        <w:t>Define the programme-wide framework for identifying, assessing, treating, monitoring and continually improving risk management across the JustDefenders Programme Management System.</w:t>
      </w:r>
    </w:p>
    <w:p>
      <w:pPr>
        <w:pStyle w:val="Heading2"/>
      </w:pPr>
      <w:r>
        <w:t>2. Scope</w:t>
      </w:r>
    </w:p>
    <w:p>
      <w:r>
        <w:rPr>
          <w:sz w:val="21"/>
        </w:rPr>
        <w:t>Applies to governance, planning, engineering, delivery, quality, security, operational activities, suppliers and all controlled programme artefacts.</w:t>
      </w:r>
    </w:p>
    <w:p>
      <w:pPr>
        <w:pStyle w:val="Heading2"/>
      </w:pPr>
      <w:r>
        <w:t>3. Risk Management Objectives</w:t>
      </w:r>
    </w:p>
    <w:p>
      <w:r>
        <w:rPr>
          <w:sz w:val="21"/>
        </w:rPr>
        <w:t>Provide consistent governance, support informed decision-making, protect programme objectives and promote continual improvement.</w:t>
      </w:r>
    </w:p>
    <w:p>
      <w:pPr>
        <w:pStyle w:val="Heading2"/>
      </w:pPr>
      <w:r>
        <w:t>4. Risk Management Principles</w:t>
      </w:r>
    </w:p>
    <w:p>
      <w:r>
        <w:rPr>
          <w:sz w:val="21"/>
        </w:rPr>
        <w:t>Risk-based decision making, accountability, evidence-based assessment, proportionality, traceability, transparency, continual monitoring and continual improvement.</w:t>
      </w:r>
    </w:p>
    <w:p>
      <w:pPr>
        <w:pStyle w:val="Heading2"/>
      </w:pPr>
      <w:r>
        <w:t>5. Risk Management Framework</w:t>
      </w:r>
    </w:p>
    <w:p>
      <w:r>
        <w:rPr>
          <w:sz w:val="21"/>
        </w:rPr>
        <w:t>Define the lifecycle for identification, assessment, treatment, monitoring, review and closure of programme risks.</w:t>
      </w:r>
    </w:p>
    <w:p>
      <w:pPr>
        <w:pStyle w:val="Heading2"/>
      </w:pPr>
      <w:r>
        <w:t>6. Risk Governance</w:t>
      </w:r>
    </w:p>
    <w:p>
      <w:r>
        <w:rPr>
          <w:sz w:val="21"/>
        </w:rPr>
        <w:t>Programme Office oversight, governance reviews, approvals and escalation mechanisms.</w:t>
      </w:r>
    </w:p>
    <w:p>
      <w:pPr>
        <w:pStyle w:val="Heading2"/>
      </w:pPr>
      <w:r>
        <w:t>7. Roles and Responsibilities</w:t>
      </w:r>
    </w:p>
    <w:p>
      <w:r>
        <w:rPr>
          <w:sz w:val="21"/>
        </w:rPr>
        <w:t>Responsibilities for Programme Office, governance representatives, risk owners, engineering, delivery, quality, security and reviewers.</w:t>
      </w:r>
    </w:p>
    <w:p>
      <w:pPr>
        <w:pStyle w:val="Heading2"/>
      </w:pPr>
      <w:r>
        <w:t>8. Risk Identification</w:t>
      </w:r>
    </w:p>
    <w:p>
      <w:r>
        <w:rPr>
          <w:sz w:val="21"/>
        </w:rPr>
        <w:t>Identify risks from governance, planning, engineering, delivery, quality, audits, incidents and operational activities.</w:t>
      </w:r>
    </w:p>
    <w:p>
      <w:pPr>
        <w:pStyle w:val="Heading2"/>
      </w:pPr>
      <w:r>
        <w:t>9. Risk Assessment</w:t>
      </w:r>
    </w:p>
    <w:p>
      <w:r>
        <w:rPr>
          <w:sz w:val="21"/>
        </w:rPr>
        <w:t>Assess likelihood, impact, existing controls and overall exposure using approved criteria.</w:t>
      </w:r>
    </w:p>
    <w:p>
      <w:pPr>
        <w:pStyle w:val="Heading2"/>
      </w:pPr>
      <w:r>
        <w:t>10. Risk Treatment</w:t>
      </w:r>
    </w:p>
    <w:p>
      <w:r>
        <w:rPr>
          <w:sz w:val="21"/>
        </w:rPr>
        <w:t>Avoid, mitigate, transfer or accept risks with documented ownership and actions.</w:t>
      </w:r>
    </w:p>
    <w:p>
      <w:pPr>
        <w:pStyle w:val="Heading2"/>
      </w:pPr>
      <w:r>
        <w:t>11. Risk Monitoring and Reporting</w:t>
      </w:r>
    </w:p>
    <w:p>
      <w:r>
        <w:rPr>
          <w:sz w:val="21"/>
        </w:rPr>
        <w:t>Review risks, monitor trends, report status and escalate where required.</w:t>
      </w:r>
    </w:p>
    <w:p>
      <w:pPr>
        <w:pStyle w:val="Heading2"/>
      </w:pPr>
      <w:r>
        <w:t>12. Risk Appetite and Tolerance</w:t>
      </w:r>
    </w:p>
    <w:p>
      <w:r>
        <w:rPr>
          <w:sz w:val="21"/>
        </w:rPr>
        <w:t>Apply approved appetite and tolerance thresholds to support governance decisions.</w:t>
      </w:r>
    </w:p>
    <w:p>
      <w:pPr>
        <w:pStyle w:val="Heading2"/>
      </w:pPr>
      <w:r>
        <w:t>13. Risk Escalation</w:t>
      </w:r>
    </w:p>
    <w:p>
      <w:r>
        <w:rPr>
          <w:sz w:val="21"/>
        </w:rPr>
        <w:t>Escalate significant risks according to governance authority and defined thresholds.</w:t>
      </w:r>
    </w:p>
    <w:p>
      <w:pPr>
        <w:pStyle w:val="Heading2"/>
      </w:pPr>
      <w:r>
        <w:t>14. Continuous Improvement</w:t>
      </w:r>
    </w:p>
    <w:p>
      <w:r>
        <w:rPr>
          <w:sz w:val="21"/>
        </w:rPr>
        <w:t>Use reviews, audits, lessons learned and metrics to improve the framework.</w:t>
      </w:r>
    </w:p>
    <w:p>
      <w:pPr>
        <w:pStyle w:val="Heading2"/>
      </w:pPr>
      <w:r>
        <w:t>15. Risk Records</w:t>
      </w:r>
    </w:p>
    <w:p>
      <w:r>
        <w:rPr>
          <w:sz w:val="21"/>
        </w:rPr>
        <w:t>Maintain controlled records supporting evidence, traceability and lifecycle management.</w:t>
      </w:r>
    </w:p>
    <w:p>
      <w:pPr>
        <w:pStyle w:val="Heading2"/>
      </w:pPr>
      <w:r>
        <w:t>16. Related Documents</w:t>
      </w:r>
    </w:p>
    <w:p>
      <w:r>
        <w:rPr>
          <w:sz w:val="21"/>
        </w:rPr>
        <w:t>Reference STR-001 Programme Strategy; GOV-001 Governance Management Manual; PLN-001 Programme Management Plan; Programme Management Foundation; Engineering Foundation; Quality Management System; Security Management System.</w:t>
      </w:r>
    </w:p>
    <w:p>
      <w:pPr>
        <w:pStyle w:val="Heading2"/>
      </w:pPr>
      <w:r>
        <w:t>17. Document Control</w:t>
      </w:r>
    </w:p>
    <w:p>
      <w:r>
        <w:rPr>
          <w:sz w:val="21"/>
        </w:rPr>
        <w:t>Maintain controlled versioning, approval, review and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