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REG-013</w:t>
        <w:br/>
        <w:t>Technical Debt Register</w:t>
      </w:r>
    </w:p>
    <w:p>
      <w:r>
        <w:t>Repository: tooling\ProgrammeManagement\02 Governance\\</w:t>
      </w:r>
    </w:p>
    <w:p>
      <w:r>
        <w:t>Filename: REG-013 Technical Debt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REG-013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Debt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REG-013 Technical Debt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Technical Debt Classification</w:t>
      </w:r>
    </w:p>
    <w:p>
      <w:r>
        <w:t>8. Technical Debt Lifecycle</w:t>
      </w:r>
    </w:p>
    <w:p>
      <w:r>
        <w:t>9. Technical Debt Register</w:t>
      </w:r>
    </w:p>
    <w:p>
      <w:r>
        <w:t>10. Technical Debt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recording, assessing, prioritising and resolving technical debt.</w:t>
      </w:r>
    </w:p>
    <w:p>
      <w:pPr>
        <w:pStyle w:val="Heading1"/>
      </w:pPr>
      <w:r>
        <w:t>Scope</w:t>
      </w:r>
    </w:p>
    <w:p>
      <w:r>
        <w:t>Applies to software components, application architecture, infrastructure, databases, cloud services, APIs, integrations, security implementations, performance, scalability, maintainability, testing and deployment mechanisms.</w:t>
      </w:r>
    </w:p>
    <w:p>
      <w:pPr>
        <w:pStyle w:val="Heading1"/>
      </w:pPr>
      <w:r>
        <w:t>Technical Debt Classification</w:t>
      </w:r>
    </w:p>
    <w:p>
      <w:pPr>
        <w:pStyle w:val="ListBullet"/>
      </w:pPr>
      <w:r>
        <w:t>Architecture Debt</w:t>
      </w:r>
    </w:p>
    <w:p>
      <w:pPr>
        <w:pStyle w:val="ListBullet"/>
      </w:pPr>
      <w:r>
        <w:t>Software Debt</w:t>
      </w:r>
    </w:p>
    <w:p>
      <w:pPr>
        <w:pStyle w:val="ListBullet"/>
      </w:pPr>
      <w:r>
        <w:t>Infrastructure Debt</w:t>
      </w:r>
    </w:p>
    <w:p>
      <w:pPr>
        <w:pStyle w:val="ListBullet"/>
      </w:pPr>
      <w:r>
        <w:t>Database Debt</w:t>
      </w:r>
    </w:p>
    <w:p>
      <w:pPr>
        <w:pStyle w:val="ListBullet"/>
      </w:pPr>
      <w:r>
        <w:t>Security Debt</w:t>
      </w:r>
    </w:p>
    <w:p>
      <w:pPr>
        <w:pStyle w:val="ListBullet"/>
      </w:pPr>
      <w:r>
        <w:t>Performance Debt</w:t>
      </w:r>
    </w:p>
    <w:p>
      <w:pPr>
        <w:pStyle w:val="ListBullet"/>
      </w:pPr>
      <w:r>
        <w:t>Scalability Debt</w:t>
      </w:r>
    </w:p>
    <w:p>
      <w:pPr>
        <w:pStyle w:val="ListBullet"/>
      </w:pPr>
      <w:r>
        <w:t>Maintainability Debt</w:t>
      </w:r>
    </w:p>
    <w:p>
      <w:pPr>
        <w:pStyle w:val="ListBullet"/>
      </w:pPr>
      <w:r>
        <w:t>Test Automation Debt</w:t>
      </w:r>
    </w:p>
    <w:p>
      <w:pPr>
        <w:pStyle w:val="ListBullet"/>
      </w:pPr>
      <w:r>
        <w:t>Deployment Debt</w:t>
      </w:r>
    </w:p>
    <w:p>
      <w:pPr>
        <w:pStyle w:val="Heading1"/>
      </w:pPr>
      <w:r>
        <w:t>Technical Debt Lifecycle</w:t>
      </w:r>
    </w:p>
    <w:p>
      <w:r>
        <w:t>Identify</w:t>
        <w:br/>
        <w:t>↓</w:t>
        <w:br/>
        <w:t>Assess</w:t>
        <w:br/>
        <w:t>↓</w:t>
        <w:br/>
        <w:t>Prioritise</w:t>
        <w:br/>
        <w:t>↓</w:t>
        <w:br/>
        <w:t>Plan</w:t>
        <w:br/>
        <w:t>↓</w:t>
        <w:br/>
        <w:t>Implement</w:t>
        <w:br/>
        <w:t>↓</w:t>
        <w:br/>
        <w:t>Validate</w:t>
        <w:br/>
        <w:t>↓</w:t>
        <w:br/>
        <w:t>Close</w:t>
      </w:r>
    </w:p>
    <w:p>
      <w:pPr>
        <w:pStyle w:val="Heading1"/>
      </w:pPr>
      <w:r>
        <w:t>Technical Debt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Debt ID</w:t>
            </w:r>
          </w:p>
        </w:tc>
        <w:tc>
          <w:tcPr>
            <w:tcW w:type="dxa" w:w="432"/>
          </w:tcPr>
          <w:p>
            <w:r>
              <w:t>Title</w:t>
            </w:r>
          </w:p>
        </w:tc>
        <w:tc>
          <w:tcPr>
            <w:tcW w:type="dxa" w:w="432"/>
          </w:tcPr>
          <w:p>
            <w:r>
              <w:t>Debt Category</w:t>
            </w:r>
          </w:p>
        </w:tc>
        <w:tc>
          <w:tcPr>
            <w:tcW w:type="dxa" w:w="432"/>
          </w:tcPr>
          <w:p>
            <w:r>
              <w:t>Description</w:t>
            </w:r>
          </w:p>
        </w:tc>
        <w:tc>
          <w:tcPr>
            <w:tcW w:type="dxa" w:w="432"/>
          </w:tcPr>
          <w:p>
            <w:r>
              <w:t>Business Impact</w:t>
            </w:r>
          </w:p>
        </w:tc>
        <w:tc>
          <w:tcPr>
            <w:tcW w:type="dxa" w:w="432"/>
          </w:tcPr>
          <w:p>
            <w:r>
              <w:t>Technical Impact</w:t>
            </w:r>
          </w:p>
        </w:tc>
        <w:tc>
          <w:tcPr>
            <w:tcW w:type="dxa" w:w="432"/>
          </w:tcPr>
          <w:p>
            <w:r>
              <w:t>Affected Component</w:t>
            </w:r>
          </w:p>
        </w:tc>
        <w:tc>
          <w:tcPr>
            <w:tcW w:type="dxa" w:w="432"/>
          </w:tcPr>
          <w:p>
            <w:r>
              <w:t>Affected Technology</w:t>
            </w:r>
          </w:p>
        </w:tc>
        <w:tc>
          <w:tcPr>
            <w:tcW w:type="dxa" w:w="432"/>
          </w:tcPr>
          <w:p>
            <w:r>
              <w:t>Related Configuration Item Reference</w:t>
            </w:r>
          </w:p>
        </w:tc>
        <w:tc>
          <w:tcPr>
            <w:tcW w:type="dxa" w:w="432"/>
          </w:tcPr>
          <w:p>
            <w:r>
              <w:t>Related Change Register Reference</w:t>
            </w:r>
          </w:p>
        </w:tc>
        <w:tc>
          <w:tcPr>
            <w:tcW w:type="dxa" w:w="432"/>
          </w:tcPr>
          <w:p>
            <w:r>
              <w:t>Related Work Package</w:t>
            </w:r>
          </w:p>
        </w:tc>
        <w:tc>
          <w:tcPr>
            <w:tcW w:type="dxa" w:w="432"/>
          </w:tcPr>
          <w:p>
            <w:r>
              <w:t>Priority</w:t>
            </w:r>
          </w:p>
        </w:tc>
        <w:tc>
          <w:tcPr>
            <w:tcW w:type="dxa" w:w="432"/>
          </w:tcPr>
          <w:p>
            <w:r>
              <w:t>Target Resolution</w:t>
            </w:r>
          </w:p>
        </w:tc>
        <w:tc>
          <w:tcPr>
            <w:tcW w:type="dxa" w:w="432"/>
          </w:tcPr>
          <w:p>
            <w:r>
              <w:t>Current Status</w:t>
            </w:r>
          </w:p>
        </w:tc>
        <w:tc>
          <w:tcPr>
            <w:tcW w:type="dxa" w:w="432"/>
          </w:tcPr>
          <w:p>
            <w:r>
              <w:t>Mitigation Strategy</w:t>
            </w:r>
          </w:p>
        </w:tc>
        <w:tc>
          <w:tcPr>
            <w:tcW w:type="dxa" w:w="432"/>
          </w:tcPr>
          <w:p>
            <w:r>
              <w:t>Dependencies</w:t>
            </w:r>
          </w:p>
        </w:tc>
        <w:tc>
          <w:tcPr>
            <w:tcW w:type="dxa" w:w="432"/>
          </w:tcPr>
          <w:p>
            <w:r>
              <w:t>Validation Evidence</w:t>
            </w:r>
          </w:p>
        </w:tc>
        <w:tc>
          <w:tcPr>
            <w:tcW w:type="dxa" w:w="432"/>
          </w:tcPr>
          <w:p>
            <w:r>
              <w:t>Last Review</w:t>
            </w:r>
          </w:p>
        </w:tc>
        <w:tc>
          <w:tcPr>
            <w:tcW w:type="dxa" w:w="432"/>
          </w:tcPr>
          <w:p>
            <w:r>
              <w:t>Next Review</w:t>
            </w:r>
          </w:p>
        </w:tc>
        <w:tc>
          <w:tcPr>
            <w:tcW w:type="dxa" w:w="432"/>
          </w:tcPr>
          <w:p>
            <w:r>
              <w:t>Notes</w:t>
            </w:r>
          </w:p>
        </w:tc>
      </w:tr>
    </w:tbl>
    <w:p>
      <w:pPr>
        <w:pStyle w:val="Heading1"/>
      </w:pPr>
      <w:r>
        <w:t>Technical Debt Review Process</w:t>
      </w:r>
    </w:p>
    <w:p>
      <w:pPr>
        <w:pStyle w:val="ListBullet"/>
      </w:pPr>
      <w:r>
        <w:t>Monthly technical debt review</w:t>
      </w:r>
    </w:p>
    <w:p>
      <w:pPr>
        <w:pStyle w:val="ListBullet"/>
      </w:pPr>
      <w:r>
        <w:t>Quarterly architecture review</w:t>
      </w:r>
    </w:p>
    <w:p>
      <w:pPr>
        <w:pStyle w:val="ListBullet"/>
      </w:pPr>
      <w:r>
        <w:t>Release planning review</w:t>
      </w:r>
    </w:p>
    <w:p>
      <w:pPr>
        <w:pStyle w:val="ListBullet"/>
      </w:pPr>
      <w:r>
        <w:t>Performance review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Annual platform assessment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Change Register</w:t>
      </w:r>
    </w:p>
    <w:p>
      <w:pPr>
        <w:pStyle w:val="ListBullet"/>
      </w:pPr>
      <w:r>
        <w:t>Technology Register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Engineering Debt Register</w:t>
      </w:r>
    </w:p>
    <w:p>
      <w:pPr>
        <w:pStyle w:val="ListBullet"/>
      </w:pPr>
      <w:r>
        <w:t>Programme Roadmap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REG-013 Technical Debt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