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SMS-002</w:t>
        <w:br/>
        <w:t>Information Security Policy</w:t>
      </w:r>
    </w:p>
    <w:p>
      <w:r>
        <w:t>JustDefenders Programme Management System</w:t>
        <w:br/>
        <w:br/>
        <w:t>Repository: tooling\ProgrammeManagement\10 Security\</w:t>
        <w:br/>
        <w:t>Filename: SMS-002 Information Security Policy.docx</w:t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Update in Microsoft Word using References → Table of Contents.</w:t>
      </w:r>
    </w:p>
    <w:p>
      <w:pPr>
        <w:pStyle w:val="Heading1"/>
      </w:pPr>
      <w:r>
        <w:t>Purpose</w:t>
      </w:r>
    </w:p>
    <w:p>
      <w:r>
        <w:t>Define the programme-wide Information Security Policy.</w:t>
      </w:r>
    </w:p>
    <w:p>
      <w:pPr>
        <w:pStyle w:val="Heading1"/>
      </w:pPr>
      <w:r>
        <w:t>Scope</w:t>
      </w:r>
    </w:p>
    <w:p>
      <w:r>
        <w:t>Applies to all programme personnel, contractors, suppliers, repositories, documentation, software, infrastructure, cloud services, engineering artefacts and information assets.</w:t>
      </w:r>
    </w:p>
    <w:p>
      <w:pPr>
        <w:pStyle w:val="Heading1"/>
      </w:pPr>
      <w:r>
        <w:t>Policy Statement</w:t>
      </w:r>
    </w:p>
    <w:p>
      <w:r>
        <w:t>The Programme Office is committed to protecting information assets using risk-based, proportionate and auditable security controls.</w:t>
      </w:r>
    </w:p>
    <w:p>
      <w:pPr>
        <w:pStyle w:val="Heading1"/>
      </w:pPr>
      <w:r>
        <w:t>Information Security Principles</w:t>
      </w:r>
    </w:p>
    <w:p>
      <w:r>
        <w:t>Confidentiality</w:t>
        <w:br/>
        <w:t>Integrity</w:t>
        <w:br/>
        <w:t>Availability</w:t>
        <w:br/>
        <w:t>Least Privilege</w:t>
        <w:br/>
        <w:t>Need to Know</w:t>
        <w:br/>
        <w:t>Defence in Depth</w:t>
        <w:br/>
        <w:t>Secure by Design</w:t>
        <w:br/>
        <w:t>Accountability</w:t>
      </w:r>
    </w:p>
    <w:p>
      <w:pPr>
        <w:pStyle w:val="Heading1"/>
      </w:pPr>
      <w:r>
        <w:t>Information Classification</w:t>
      </w:r>
    </w:p>
    <w:p>
      <w:r>
        <w:t>Classification levels, ownership, labelling and handling requirements.</w:t>
      </w:r>
    </w:p>
    <w:p>
      <w:pPr>
        <w:pStyle w:val="Heading1"/>
      </w:pPr>
      <w:r>
        <w:t>Information Handling</w:t>
      </w:r>
    </w:p>
    <w:p>
      <w:r>
        <w:t>Creation, modification, access, sharing and approval requirements.</w:t>
      </w:r>
    </w:p>
    <w:p>
      <w:pPr>
        <w:pStyle w:val="Heading1"/>
      </w:pPr>
      <w:r>
        <w:t>Information Storage</w:t>
      </w:r>
    </w:p>
    <w:p>
      <w:r>
        <w:t>Approved storage locations, encryption expectations, backups and repository controls.</w:t>
      </w:r>
    </w:p>
    <w:p>
      <w:pPr>
        <w:pStyle w:val="Heading1"/>
      </w:pPr>
      <w:r>
        <w:t>Information Transmission</w:t>
      </w:r>
    </w:p>
    <w:p>
      <w:r>
        <w:t>Secure transfer methods, approved communication channels and protection of sensitive information.</w:t>
      </w:r>
    </w:p>
    <w:p>
      <w:pPr>
        <w:pStyle w:val="Heading1"/>
      </w:pPr>
      <w:r>
        <w:t>Information Retention</w:t>
      </w:r>
    </w:p>
    <w:p>
      <w:r>
        <w:t>Retention requirements, legal obligations and review periods.</w:t>
      </w:r>
    </w:p>
    <w:p>
      <w:pPr>
        <w:pStyle w:val="Heading1"/>
      </w:pPr>
      <w:r>
        <w:t>Information Disposal</w:t>
      </w:r>
    </w:p>
    <w:p>
      <w:r>
        <w:t>Secure disposal and destruction of information.</w:t>
      </w:r>
    </w:p>
    <w:p>
      <w:pPr>
        <w:pStyle w:val="Heading1"/>
      </w:pPr>
      <w:r>
        <w:t>Roles and Responsibilities</w:t>
      </w:r>
    </w:p>
    <w:p>
      <w:r>
        <w:t>Responsibilities of the Programme Office, information owners, engineering teams, administrators and users.</w:t>
      </w:r>
    </w:p>
    <w:p>
      <w:pPr>
        <w:pStyle w:val="Heading1"/>
      </w:pPr>
      <w:r>
        <w:t>Compliance</w:t>
      </w:r>
    </w:p>
    <w:p>
      <w:r>
        <w:t>Monitoring, audits, reporting and non-compliance management.</w:t>
      </w:r>
    </w:p>
    <w:p>
      <w:pPr>
        <w:pStyle w:val="Heading1"/>
      </w:pPr>
      <w:r>
        <w:t>Exceptions</w:t>
      </w:r>
    </w:p>
    <w:p>
      <w:r>
        <w:t>Approval process for policy exceptions.</w:t>
      </w:r>
    </w:p>
    <w:p>
      <w:pPr>
        <w:pStyle w:val="Heading1"/>
      </w:pPr>
      <w:r>
        <w:t>Policy Review</w:t>
      </w:r>
    </w:p>
    <w:p>
      <w:r>
        <w:t>Review frequency, ownership and continual improvement.</w:t>
      </w:r>
    </w:p>
    <w:p>
      <w:pPr>
        <w:pStyle w:val="Heading1"/>
      </w:pPr>
      <w:r>
        <w:t>Related Documents</w:t>
      </w:r>
    </w:p>
    <w:p>
      <w:r>
        <w:t>SMS-001 Security Management Manual</w:t>
        <w:br/>
        <w:t>Governance Foundation</w:t>
        <w:br/>
        <w:t>Operations Foundation</w:t>
        <w:br/>
        <w:t>Architecture Foundation</w:t>
        <w:br/>
        <w:t>Engineering Standards Foundation</w:t>
        <w:br/>
        <w:t>Quality Foundation</w:t>
      </w:r>
    </w:p>
    <w:p>
      <w:pPr>
        <w:pStyle w:val="Heading1"/>
      </w:pPr>
      <w:r>
        <w:t>Appendices</w:t>
      </w:r>
    </w:p>
    <w:p>
      <w:r>
        <w:t>Reserved for supporting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