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REG-005</w:t>
        <w:br/>
        <w:t>Engineering Environment Register</w:t>
      </w:r>
    </w:p>
    <w:p>
      <w:r>
        <w:t>Repository: tooling\ProgrammeManagement\02 Governance\\</w:t>
      </w:r>
    </w:p>
    <w:p>
      <w:r>
        <w:t>Filename: REG-005 Engineering Environment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Environment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REG-005 Engineering Environment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Environment Classification</w:t>
      </w:r>
    </w:p>
    <w:p>
      <w:r>
        <w:t>8. Environment Lifecycle</w:t>
      </w:r>
    </w:p>
    <w:p>
      <w:r>
        <w:t>9. Engineering Environment Register</w:t>
      </w:r>
    </w:p>
    <w:p>
      <w:r>
        <w:t>10. Environment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recording and governing every environment used by the JustDefenders programme.</w:t>
      </w:r>
    </w:p>
    <w:p>
      <w:pPr>
        <w:pStyle w:val="Heading1"/>
      </w:pPr>
      <w:r>
        <w:t>Scope</w:t>
      </w:r>
    </w:p>
    <w:p>
      <w:r>
        <w:t>Applies to all development, testing, staging, production, cloud, mobile, monitoring, backup, disaster recovery and remote management environments.</w:t>
      </w:r>
    </w:p>
    <w:p>
      <w:pPr>
        <w:pStyle w:val="Heading1"/>
      </w:pPr>
      <w:r>
        <w:t>Environment Classification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ListBullet"/>
      </w:pPr>
      <w:r>
        <w:t>Mobile</w:t>
      </w:r>
    </w:p>
    <w:p>
      <w:pPr>
        <w:pStyle w:val="ListBullet"/>
      </w:pPr>
      <w:r>
        <w:t>Cloud</w:t>
      </w:r>
    </w:p>
    <w:p>
      <w:pPr>
        <w:pStyle w:val="ListBullet"/>
      </w:pPr>
      <w:r>
        <w:t>Monitoring</w:t>
      </w:r>
    </w:p>
    <w:p>
      <w:pPr>
        <w:pStyle w:val="ListBullet"/>
      </w:pPr>
      <w:r>
        <w:t>Backup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Remote Management</w:t>
      </w:r>
    </w:p>
    <w:p>
      <w:pPr>
        <w:pStyle w:val="ListBullet"/>
      </w:pPr>
      <w:r>
        <w:t>Training</w:t>
      </w:r>
    </w:p>
    <w:p>
      <w:pPr>
        <w:pStyle w:val="Heading1"/>
      </w:pPr>
      <w:r>
        <w:t>Environment Lifecycle</w:t>
      </w:r>
    </w:p>
    <w:p>
      <w:r>
        <w:t>Create</w:t>
        <w:br/>
        <w:t>↓</w:t>
        <w:br/>
        <w:t>Configure</w:t>
        <w:br/>
        <w:t>↓</w:t>
        <w:br/>
        <w:t>Validate</w:t>
        <w:br/>
        <w:t>↓</w:t>
        <w:br/>
        <w:t>Operate</w:t>
        <w:br/>
        <w:t>↓</w:t>
        <w:br/>
        <w:t>Monitor</w:t>
        <w:br/>
        <w:t>↓</w:t>
        <w:br/>
        <w:t>Review</w:t>
        <w:br/>
        <w:t>↓</w:t>
        <w:br/>
        <w:t>Retire</w:t>
      </w:r>
    </w:p>
    <w:p>
      <w:pPr>
        <w:pStyle w:val="Heading1"/>
      </w:pPr>
      <w:r>
        <w:t>Engineering Environment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t>Environment ID</w:t>
            </w:r>
          </w:p>
        </w:tc>
        <w:tc>
          <w:tcPr>
            <w:tcW w:type="dxa" w:w="393"/>
          </w:tcPr>
          <w:p>
            <w:r>
              <w:t>Environment Name</w:t>
            </w:r>
          </w:p>
        </w:tc>
        <w:tc>
          <w:tcPr>
            <w:tcW w:type="dxa" w:w="393"/>
          </w:tcPr>
          <w:p>
            <w:r>
              <w:t>Category</w:t>
            </w:r>
          </w:p>
        </w:tc>
        <w:tc>
          <w:tcPr>
            <w:tcW w:type="dxa" w:w="393"/>
          </w:tcPr>
          <w:p>
            <w:r>
              <w:t>Purpose</w:t>
            </w:r>
          </w:p>
        </w:tc>
        <w:tc>
          <w:tcPr>
            <w:tcW w:type="dxa" w:w="393"/>
          </w:tcPr>
          <w:p>
            <w:r>
              <w:t>Location</w:t>
            </w:r>
          </w:p>
        </w:tc>
        <w:tc>
          <w:tcPr>
            <w:tcW w:type="dxa" w:w="393"/>
          </w:tcPr>
          <w:p>
            <w:r>
              <w:t>Platform</w:t>
            </w:r>
          </w:p>
        </w:tc>
        <w:tc>
          <w:tcPr>
            <w:tcW w:type="dxa" w:w="393"/>
          </w:tcPr>
          <w:p>
            <w:r>
              <w:t>Owner</w:t>
            </w:r>
          </w:p>
        </w:tc>
        <w:tc>
          <w:tcPr>
            <w:tcW w:type="dxa" w:w="393"/>
          </w:tcPr>
          <w:p>
            <w:r>
              <w:t>Operational Status</w:t>
            </w:r>
          </w:p>
        </w:tc>
        <w:tc>
          <w:tcPr>
            <w:tcW w:type="dxa" w:w="393"/>
          </w:tcPr>
          <w:p>
            <w:r>
              <w:t>Associated Technologies</w:t>
            </w:r>
          </w:p>
        </w:tc>
        <w:tc>
          <w:tcPr>
            <w:tcW w:type="dxa" w:w="393"/>
          </w:tcPr>
          <w:p>
            <w:r>
              <w:t>Linked Identity Register Reference</w:t>
            </w:r>
          </w:p>
        </w:tc>
        <w:tc>
          <w:tcPr>
            <w:tcW w:type="dxa" w:w="393"/>
          </w:tcPr>
          <w:p>
            <w:r>
              <w:t>Linked Secrets Register Reference</w:t>
            </w:r>
          </w:p>
        </w:tc>
        <w:tc>
          <w:tcPr>
            <w:tcW w:type="dxa" w:w="393"/>
          </w:tcPr>
          <w:p>
            <w:r>
              <w:t>Backup Strategy</w:t>
            </w:r>
          </w:p>
        </w:tc>
        <w:tc>
          <w:tcPr>
            <w:tcW w:type="dxa" w:w="393"/>
          </w:tcPr>
          <w:p>
            <w:r>
              <w:t>Recovery Procedure Reference</w:t>
            </w:r>
          </w:p>
        </w:tc>
        <w:tc>
          <w:tcPr>
            <w:tcW w:type="dxa" w:w="393"/>
          </w:tcPr>
          <w:p>
            <w:r>
              <w:t>Last Recovery Validation</w:t>
            </w:r>
          </w:p>
        </w:tc>
        <w:tc>
          <w:tcPr>
            <w:tcW w:type="dxa" w:w="393"/>
          </w:tcPr>
          <w:p>
            <w:r>
              <w:t>Next Recovery Validation</w:t>
            </w:r>
          </w:p>
        </w:tc>
        <w:tc>
          <w:tcPr>
            <w:tcW w:type="dxa" w:w="393"/>
          </w:tcPr>
          <w:p>
            <w:r>
              <w:t>Certificate / Licence Renewal Date</w:t>
            </w:r>
          </w:p>
        </w:tc>
        <w:tc>
          <w:tcPr>
            <w:tcW w:type="dxa" w:w="393"/>
          </w:tcPr>
          <w:p>
            <w:r>
              <w:t>Support Contract Renewal Date</w:t>
            </w:r>
          </w:p>
        </w:tc>
        <w:tc>
          <w:tcPr>
            <w:tcW w:type="dxa" w:w="393"/>
          </w:tcPr>
          <w:p>
            <w:r>
              <w:t>Monitoring Status</w:t>
            </w:r>
          </w:p>
        </w:tc>
        <w:tc>
          <w:tcPr>
            <w:tcW w:type="dxa" w:w="393"/>
          </w:tcPr>
          <w:p>
            <w:r>
              <w:t>Remote Management Enabled</w:t>
            </w:r>
          </w:p>
        </w:tc>
        <w:tc>
          <w:tcPr>
            <w:tcW w:type="dxa" w:w="393"/>
          </w:tcPr>
          <w:p>
            <w:r>
              <w:t>Last Review</w:t>
            </w:r>
          </w:p>
        </w:tc>
        <w:tc>
          <w:tcPr>
            <w:tcW w:type="dxa" w:w="393"/>
          </w:tcPr>
          <w:p>
            <w:r>
              <w:t>Next Review</w:t>
            </w:r>
          </w:p>
        </w:tc>
        <w:tc>
          <w:tcPr>
            <w:tcW w:type="dxa" w:w="393"/>
          </w:tcPr>
          <w:p>
            <w:r>
              <w:t>Notes</w:t>
            </w:r>
          </w:p>
        </w:tc>
      </w:tr>
    </w:tbl>
    <w:p>
      <w:pPr>
        <w:pStyle w:val="Heading1"/>
      </w:pPr>
      <w:r>
        <w:t>Environment Review Process</w:t>
      </w:r>
    </w:p>
    <w:p>
      <w:pPr>
        <w:pStyle w:val="ListBullet"/>
      </w:pPr>
      <w:r>
        <w:t>Monthly operational review</w:t>
      </w:r>
    </w:p>
    <w:p>
      <w:pPr>
        <w:pStyle w:val="ListBullet"/>
      </w:pPr>
      <w:r>
        <w:t>Quarterly engineering review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Backup validation</w:t>
      </w:r>
    </w:p>
    <w:p>
      <w:pPr>
        <w:pStyle w:val="ListBullet"/>
      </w:pPr>
      <w:r>
        <w:t>Disaster recovery validation</w:t>
      </w:r>
    </w:p>
    <w:p>
      <w:pPr>
        <w:pStyle w:val="ListBullet"/>
      </w:pPr>
      <w:r>
        <w:t>Annual environment audit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Identity Register</w:t>
      </w:r>
    </w:p>
    <w:p>
      <w:pPr>
        <w:pStyle w:val="ListBullet"/>
      </w:pPr>
      <w:r>
        <w:t>Secrets Register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REG-005 Engineering Environment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