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STD-006</w:t>
        <w:br/>
        <w:t>Configuration Management Standard</w:t>
      </w:r>
    </w:p>
    <w:p>
      <w:r>
        <w:t>Repository: tooling\ProgrammeManagement\06 Engineering Standards\\</w:t>
      </w:r>
    </w:p>
    <w:p>
      <w:r>
        <w:t>Filename: STD-006 Configuration Management Standard.docx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STD-006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Configuration Management Standard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tooling\ProgrammeManagement\06 Engineering Standards\\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STD-006 Configuration Management Standard.docx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1. Cover Page</w:t>
      </w:r>
    </w:p>
    <w:p>
      <w:r>
        <w:t>2. Engineering Control Record</w:t>
      </w:r>
    </w:p>
    <w:p>
      <w:r>
        <w:t>3. Revision History</w:t>
      </w:r>
    </w:p>
    <w:p>
      <w:r>
        <w:t>4. Table of Contents</w:t>
      </w:r>
    </w:p>
    <w:p>
      <w:r>
        <w:t>5. Purpose</w:t>
      </w:r>
    </w:p>
    <w:p>
      <w:r>
        <w:t>6. Scope</w:t>
      </w:r>
    </w:p>
    <w:p>
      <w:r>
        <w:t>7. Configuration Management Principles</w:t>
      </w:r>
    </w:p>
    <w:p>
      <w:r>
        <w:t>8. Configuration Items</w:t>
      </w:r>
    </w:p>
    <w:p>
      <w:r>
        <w:t>9. Configuration Identification</w:t>
      </w:r>
    </w:p>
    <w:p>
      <w:r>
        <w:t>10. Configuration Baselines</w:t>
      </w:r>
    </w:p>
    <w:p>
      <w:r>
        <w:t>11. Configuration Control</w:t>
      </w:r>
    </w:p>
    <w:p>
      <w:r>
        <w:t>12. Configuration Status Accounting</w:t>
      </w:r>
    </w:p>
    <w:p>
      <w:r>
        <w:t>13. Configuration Verification and Audit</w:t>
      </w:r>
    </w:p>
    <w:p>
      <w:r>
        <w:t>14. Repository Management</w:t>
      </w:r>
    </w:p>
    <w:p>
      <w:r>
        <w:t>15. Environment Configuration</w:t>
      </w:r>
    </w:p>
    <w:p>
      <w:r>
        <w:t>16. Configuration Change Control</w:t>
      </w:r>
    </w:p>
    <w:p>
      <w:r>
        <w:t>17. Configuration Recovery</w:t>
      </w:r>
    </w:p>
    <w:p>
      <w:r>
        <w:t>18. Continuous Improvement</w:t>
      </w:r>
    </w:p>
    <w:p>
      <w:r>
        <w:t>19. Related Documents</w:t>
      </w:r>
    </w:p>
    <w:p>
      <w:r>
        <w:t>20. Appendices</w:t>
      </w:r>
    </w:p>
    <w:p>
      <w:pPr>
        <w:pStyle w:val="Heading1"/>
      </w:pPr>
      <w:r>
        <w:t>Purpose</w:t>
      </w:r>
    </w:p>
    <w:p>
      <w:r>
        <w:t>Define the mandatory configuration management standard governing controlled engineering assets.</w:t>
      </w:r>
    </w:p>
    <w:p>
      <w:pPr>
        <w:pStyle w:val="Heading1"/>
      </w:pPr>
      <w:r>
        <w:t>Scope</w:t>
      </w:r>
    </w:p>
    <w:p>
      <w:r>
        <w:t>Applies to software, source code, documentation, infrastructure, environments, deployment artefacts, automation, engineering tooling, operational tooling, configuration files, repositories and all controlled configuration items.</w:t>
      </w:r>
    </w:p>
    <w:p>
      <w:pPr>
        <w:pStyle w:val="Heading1"/>
      </w:pPr>
      <w:r>
        <w:t>Configuration Management Principles</w:t>
      </w:r>
    </w:p>
    <w:p>
      <w:pPr>
        <w:pStyle w:val="ListBullet"/>
      </w:pPr>
      <w:r>
        <w:t>Identification</w:t>
      </w:r>
    </w:p>
    <w:p>
      <w:pPr>
        <w:pStyle w:val="ListBullet"/>
      </w:pPr>
      <w:r>
        <w:t>Traceability</w:t>
      </w:r>
    </w:p>
    <w:p>
      <w:pPr>
        <w:pStyle w:val="ListBullet"/>
      </w:pPr>
      <w:r>
        <w:t>Controlled Change</w:t>
      </w:r>
    </w:p>
    <w:p>
      <w:pPr>
        <w:pStyle w:val="ListBullet"/>
      </w:pPr>
      <w:r>
        <w:t>Baseline Integrity</w:t>
      </w:r>
    </w:p>
    <w:p>
      <w:pPr>
        <w:pStyle w:val="ListBullet"/>
      </w:pPr>
      <w:r>
        <w:t>Auditability</w:t>
      </w:r>
    </w:p>
    <w:p>
      <w:pPr>
        <w:pStyle w:val="ListBullet"/>
      </w:pPr>
      <w:r>
        <w:t>Repeatability</w:t>
      </w:r>
    </w:p>
    <w:p>
      <w:pPr>
        <w:pStyle w:val="ListBullet"/>
      </w:pPr>
      <w:r>
        <w:t>Recoverability</w:t>
      </w:r>
    </w:p>
    <w:p>
      <w:pPr>
        <w:pStyle w:val="ListBullet"/>
      </w:pPr>
      <w:r>
        <w:t>Continuous Improvement</w:t>
      </w:r>
    </w:p>
    <w:p>
      <w:pPr>
        <w:pStyle w:val="Heading1"/>
      </w:pPr>
      <w:r>
        <w:t>Configuration Items</w:t>
      </w:r>
    </w:p>
    <w:p>
      <w:r>
        <w:t>Describe identification and classification of configuration items throughout the programme.</w:t>
      </w:r>
    </w:p>
    <w:p>
      <w:pPr>
        <w:pStyle w:val="Heading1"/>
      </w:pPr>
      <w:r>
        <w:t>Configuration Identification</w:t>
      </w:r>
    </w:p>
    <w:p>
      <w:r>
        <w:t>Describe unique identifiers, naming conventions, ownership, relationships and configuration records.</w:t>
      </w:r>
    </w:p>
    <w:p>
      <w:pPr>
        <w:pStyle w:val="Heading1"/>
      </w:pPr>
      <w:r>
        <w:t>Configuration Baselines</w:t>
      </w:r>
    </w:p>
    <w:p>
      <w:r>
        <w:t>Describe establishment, maintenance and protection of engineering baselines.</w:t>
      </w:r>
    </w:p>
    <w:p>
      <w:pPr>
        <w:pStyle w:val="Heading1"/>
      </w:pPr>
      <w:r>
        <w:t>Configuration Control</w:t>
      </w:r>
    </w:p>
    <w:p>
      <w:r>
        <w:t>Describe approval, modification, replacement and retirement of configuration items.</w:t>
      </w:r>
    </w:p>
    <w:p>
      <w:pPr>
        <w:pStyle w:val="Heading1"/>
      </w:pPr>
      <w:r>
        <w:t>Configuration Status Accounting</w:t>
      </w:r>
    </w:p>
    <w:p>
      <w:r>
        <w:t>Describe recording, reporting and traceability of configuration item status.</w:t>
      </w:r>
    </w:p>
    <w:p>
      <w:pPr>
        <w:pStyle w:val="Heading1"/>
      </w:pPr>
      <w:r>
        <w:t>Configuration Verification and Audit</w:t>
      </w:r>
    </w:p>
    <w:p>
      <w:r>
        <w:t>Describe configuration audits, verification activities, compliance checks and baseline validation.</w:t>
      </w:r>
    </w:p>
    <w:p>
      <w:pPr>
        <w:pStyle w:val="Heading1"/>
      </w:pPr>
      <w:r>
        <w:t>Repository Management</w:t>
      </w:r>
    </w:p>
    <w:p>
      <w:r>
        <w:t>Describe repository organisation, storage, version control integration and configuration records.</w:t>
      </w:r>
    </w:p>
    <w:p>
      <w:pPr>
        <w:pStyle w:val="Heading1"/>
      </w:pPr>
      <w:r>
        <w:t>Environment Configuration</w:t>
      </w:r>
    </w:p>
    <w:p>
      <w:r>
        <w:t>Describe management of development, testing, staging, production and recovery environments.</w:t>
      </w:r>
    </w:p>
    <w:p>
      <w:pPr>
        <w:pStyle w:val="Heading1"/>
      </w:pPr>
      <w:r>
        <w:t>Configuration Change Control</w:t>
      </w:r>
    </w:p>
    <w:p>
      <w:r>
        <w:t>Describe integration with engineering change management and release management.</w:t>
      </w:r>
    </w:p>
    <w:p>
      <w:pPr>
        <w:pStyle w:val="Heading1"/>
      </w:pPr>
      <w:r>
        <w:t>Configuration Recovery</w:t>
      </w:r>
    </w:p>
    <w:p>
      <w:r>
        <w:t>Describe restoration of baselines, recovery procedures and configuration resilience.</w:t>
      </w:r>
    </w:p>
    <w:p>
      <w:pPr>
        <w:pStyle w:val="Heading1"/>
      </w:pPr>
      <w:r>
        <w:t>Continuous Improvement</w:t>
      </w:r>
    </w:p>
    <w:p>
      <w:r>
        <w:t>Describe periodic review, metrics, lessons learned and continual enhancement of configuration management.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Engineering Standards</w:t>
      </w:r>
    </w:p>
    <w:p>
      <w:pPr>
        <w:pStyle w:val="ListBullet"/>
      </w:pPr>
      <w:r>
        <w:t>Release Management Standard</w:t>
      </w:r>
    </w:p>
    <w:p>
      <w:pPr>
        <w:pStyle w:val="ListBullet"/>
      </w:pPr>
      <w:r>
        <w:t>Version Control Standard</w:t>
      </w:r>
    </w:p>
    <w:p>
      <w:pPr>
        <w:pStyle w:val="ListBullet"/>
      </w:pPr>
      <w:r>
        <w:t>Branching and Merge Standard</w:t>
      </w:r>
    </w:p>
    <w:p>
      <w:pPr>
        <w:pStyle w:val="ListBullet"/>
      </w:pPr>
      <w:r>
        <w:t>Testing and Validation Standard</w:t>
      </w:r>
    </w:p>
    <w:p>
      <w:pPr>
        <w:pStyle w:val="ListBullet"/>
      </w:pPr>
      <w:r>
        <w:t>Configuration Register</w:t>
      </w:r>
    </w:p>
    <w:p>
      <w:pPr>
        <w:pStyle w:val="ListBullet"/>
      </w:pPr>
      <w:r>
        <w:t>Change Register</w:t>
      </w:r>
    </w:p>
    <w:p>
      <w:pPr>
        <w:pStyle w:val="ListBullet"/>
      </w:pPr>
      <w:r>
        <w:t>Operations Manual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STD-006 Configuration Management Standard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