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REG-009</w:t>
        <w:br/>
        <w:t>Supplier Register</w:t>
      </w:r>
    </w:p>
    <w:p>
      <w:r>
        <w:t>Repository: tooling\ProgrammeManagement\02 Governance\\</w:t>
      </w:r>
    </w:p>
    <w:p>
      <w:r>
        <w:t>Filename: REG-009 Supplier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Supplier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REG-009 Supplier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Supplier Classification</w:t>
      </w:r>
    </w:p>
    <w:p>
      <w:r>
        <w:t>8. Supplier Lifecycle</w:t>
      </w:r>
    </w:p>
    <w:p>
      <w:r>
        <w:t>9. Supplier Register</w:t>
      </w:r>
    </w:p>
    <w:p>
      <w:r>
        <w:t>10. Supplier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governing and reviewing every supplier associated with the programme.</w:t>
      </w:r>
    </w:p>
    <w:p>
      <w:pPr>
        <w:pStyle w:val="Heading1"/>
      </w:pPr>
      <w:r>
        <w:t>Scope</w:t>
      </w:r>
    </w:p>
    <w:p>
      <w:r>
        <w:t>Applies to software vendors, cloud providers, consultants, contractors, equipment suppliers, telecommunications providers, hosting providers, AI service providers, payment providers and all other commercial suppliers.</w:t>
      </w:r>
    </w:p>
    <w:p>
      <w:pPr>
        <w:pStyle w:val="Heading1"/>
      </w:pPr>
      <w:r>
        <w:t>Supplier Classification</w:t>
      </w:r>
    </w:p>
    <w:p>
      <w:pPr>
        <w:pStyle w:val="ListBullet"/>
      </w:pPr>
      <w:r>
        <w:t>Software Vendor</w:t>
      </w:r>
    </w:p>
    <w:p>
      <w:pPr>
        <w:pStyle w:val="ListBullet"/>
      </w:pPr>
      <w:r>
        <w:t>Cloud Provider</w:t>
      </w:r>
    </w:p>
    <w:p>
      <w:pPr>
        <w:pStyle w:val="ListBullet"/>
      </w:pPr>
      <w:r>
        <w:t>Infrastructure Provider</w:t>
      </w:r>
    </w:p>
    <w:p>
      <w:pPr>
        <w:pStyle w:val="ListBullet"/>
      </w:pPr>
      <w:r>
        <w:t>Telecommunications Provider</w:t>
      </w:r>
    </w:p>
    <w:p>
      <w:pPr>
        <w:pStyle w:val="ListBullet"/>
      </w:pPr>
      <w:r>
        <w:t>Hardware Supplier</w:t>
      </w:r>
    </w:p>
    <w:p>
      <w:pPr>
        <w:pStyle w:val="ListBullet"/>
      </w:pPr>
      <w:r>
        <w:t>AI Service Provider</w:t>
      </w:r>
    </w:p>
    <w:p>
      <w:pPr>
        <w:pStyle w:val="ListBullet"/>
      </w:pPr>
      <w:r>
        <w:t>Professional Services</w:t>
      </w:r>
    </w:p>
    <w:p>
      <w:pPr>
        <w:pStyle w:val="ListBullet"/>
      </w:pPr>
      <w:r>
        <w:t>Managed Service Provider</w:t>
      </w:r>
    </w:p>
    <w:p>
      <w:pPr>
        <w:pStyle w:val="ListBullet"/>
      </w:pPr>
      <w:r>
        <w:t>Contractor</w:t>
      </w:r>
    </w:p>
    <w:p>
      <w:pPr>
        <w:pStyle w:val="ListBullet"/>
      </w:pPr>
      <w:r>
        <w:t>Commercial Partner</w:t>
      </w:r>
    </w:p>
    <w:p>
      <w:pPr>
        <w:pStyle w:val="Heading1"/>
      </w:pPr>
      <w:r>
        <w:t>Supplier Lifecycle</w:t>
      </w:r>
    </w:p>
    <w:p>
      <w:r>
        <w:t>Evaluate</w:t>
        <w:br/>
        <w:t>↓</w:t>
        <w:br/>
        <w:t>Approve</w:t>
        <w:br/>
        <w:t>↓</w:t>
        <w:br/>
        <w:t>Contract</w:t>
        <w:br/>
        <w:t>↓</w:t>
        <w:br/>
        <w:t>Operate</w:t>
        <w:br/>
        <w:t>↓</w:t>
        <w:br/>
        <w:t>Review</w:t>
        <w:br/>
        <w:t>↓</w:t>
        <w:br/>
        <w:t>Renew</w:t>
        <w:br/>
        <w:t>↓</w:t>
        <w:br/>
        <w:t>Retire</w:t>
      </w:r>
    </w:p>
    <w:p>
      <w:pPr>
        <w:pStyle w:val="Heading1"/>
      </w:pPr>
      <w:r>
        <w:t>Supplier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t>Supplier ID</w:t>
            </w:r>
          </w:p>
        </w:tc>
        <w:tc>
          <w:tcPr>
            <w:tcW w:type="dxa" w:w="376"/>
          </w:tcPr>
          <w:p>
            <w:r>
              <w:t>Supplier Name</w:t>
            </w:r>
          </w:p>
        </w:tc>
        <w:tc>
          <w:tcPr>
            <w:tcW w:type="dxa" w:w="376"/>
          </w:tcPr>
          <w:p>
            <w:r>
              <w:t>Supplier Category</w:t>
            </w:r>
          </w:p>
        </w:tc>
        <w:tc>
          <w:tcPr>
            <w:tcW w:type="dxa" w:w="376"/>
          </w:tcPr>
          <w:p>
            <w:r>
              <w:t>Products / Services</w:t>
            </w:r>
          </w:p>
        </w:tc>
        <w:tc>
          <w:tcPr>
            <w:tcW w:type="dxa" w:w="376"/>
          </w:tcPr>
          <w:p>
            <w:r>
              <w:t>Business Owner</w:t>
            </w:r>
          </w:p>
        </w:tc>
        <w:tc>
          <w:tcPr>
            <w:tcW w:type="dxa" w:w="376"/>
          </w:tcPr>
          <w:p>
            <w:r>
              <w:t>Technical Owner</w:t>
            </w:r>
          </w:p>
        </w:tc>
        <w:tc>
          <w:tcPr>
            <w:tcW w:type="dxa" w:w="376"/>
          </w:tcPr>
          <w:p>
            <w:r>
              <w:t>Linked External Platform Register Reference</w:t>
            </w:r>
          </w:p>
        </w:tc>
        <w:tc>
          <w:tcPr>
            <w:tcW w:type="dxa" w:w="376"/>
          </w:tcPr>
          <w:p>
            <w:r>
              <w:t>Contract Reference</w:t>
            </w:r>
          </w:p>
        </w:tc>
        <w:tc>
          <w:tcPr>
            <w:tcW w:type="dxa" w:w="376"/>
          </w:tcPr>
          <w:p>
            <w:r>
              <w:t>Service Level Agreement</w:t>
            </w:r>
          </w:p>
        </w:tc>
        <w:tc>
          <w:tcPr>
            <w:tcW w:type="dxa" w:w="376"/>
          </w:tcPr>
          <w:p>
            <w:r>
              <w:t>Contract Start Date</w:t>
            </w:r>
          </w:p>
        </w:tc>
        <w:tc>
          <w:tcPr>
            <w:tcW w:type="dxa" w:w="376"/>
          </w:tcPr>
          <w:p>
            <w:r>
              <w:t>Contract End Date</w:t>
            </w:r>
          </w:p>
        </w:tc>
        <w:tc>
          <w:tcPr>
            <w:tcW w:type="dxa" w:w="376"/>
          </w:tcPr>
          <w:p>
            <w:r>
              <w:t>Renewal Date</w:t>
            </w:r>
          </w:p>
        </w:tc>
        <w:tc>
          <w:tcPr>
            <w:tcW w:type="dxa" w:w="376"/>
          </w:tcPr>
          <w:p>
            <w:r>
              <w:t>Primary Contact</w:t>
            </w:r>
          </w:p>
        </w:tc>
        <w:tc>
          <w:tcPr>
            <w:tcW w:type="dxa" w:w="376"/>
          </w:tcPr>
          <w:p>
            <w:r>
              <w:t>Escalation Contact</w:t>
            </w:r>
          </w:p>
        </w:tc>
        <w:tc>
          <w:tcPr>
            <w:tcW w:type="dxa" w:w="376"/>
          </w:tcPr>
          <w:p>
            <w:r>
              <w:t>Support Hours</w:t>
            </w:r>
          </w:p>
        </w:tc>
        <w:tc>
          <w:tcPr>
            <w:tcW w:type="dxa" w:w="376"/>
          </w:tcPr>
          <w:p>
            <w:r>
              <w:t>Business Criticality</w:t>
            </w:r>
          </w:p>
        </w:tc>
        <w:tc>
          <w:tcPr>
            <w:tcW w:type="dxa" w:w="376"/>
          </w:tcPr>
          <w:p>
            <w:r>
              <w:t>Operational Risk</w:t>
            </w:r>
          </w:p>
        </w:tc>
        <w:tc>
          <w:tcPr>
            <w:tcW w:type="dxa" w:w="376"/>
          </w:tcPr>
          <w:p>
            <w:r>
              <w:t>Exit Strategy</w:t>
            </w:r>
          </w:p>
        </w:tc>
        <w:tc>
          <w:tcPr>
            <w:tcW w:type="dxa" w:w="376"/>
          </w:tcPr>
          <w:p>
            <w:r>
              <w:t>Replacement Options</w:t>
            </w:r>
          </w:p>
        </w:tc>
        <w:tc>
          <w:tcPr>
            <w:tcW w:type="dxa" w:w="376"/>
          </w:tcPr>
          <w:p>
            <w:r>
              <w:t>Performance Rating</w:t>
            </w:r>
          </w:p>
        </w:tc>
        <w:tc>
          <w:tcPr>
            <w:tcW w:type="dxa" w:w="376"/>
          </w:tcPr>
          <w:p>
            <w:r>
              <w:t>Last Supplier Review</w:t>
            </w:r>
          </w:p>
        </w:tc>
        <w:tc>
          <w:tcPr>
            <w:tcW w:type="dxa" w:w="376"/>
          </w:tcPr>
          <w:p>
            <w:r>
              <w:t>Next Supplier Review</w:t>
            </w:r>
          </w:p>
        </w:tc>
        <w:tc>
          <w:tcPr>
            <w:tcW w:type="dxa" w:w="376"/>
          </w:tcPr>
          <w:p>
            <w:r>
              <w:t>Notes</w:t>
            </w:r>
          </w:p>
        </w:tc>
      </w:tr>
    </w:tbl>
    <w:p>
      <w:pPr>
        <w:pStyle w:val="Heading1"/>
      </w:pPr>
      <w:r>
        <w:t>Supplier Review Process</w:t>
      </w:r>
    </w:p>
    <w:p>
      <w:pPr>
        <w:pStyle w:val="ListBullet"/>
      </w:pPr>
      <w:r>
        <w:t>Quarterly supplier review</w:t>
      </w:r>
    </w:p>
    <w:p>
      <w:pPr>
        <w:pStyle w:val="ListBullet"/>
      </w:pPr>
      <w:r>
        <w:t>Annual contract review</w:t>
      </w:r>
    </w:p>
    <w:p>
      <w:pPr>
        <w:pStyle w:val="ListBullet"/>
      </w:pPr>
      <w:r>
        <w:t>Performance assessment</w:t>
      </w:r>
    </w:p>
    <w:p>
      <w:pPr>
        <w:pStyle w:val="ListBullet"/>
      </w:pPr>
      <w:r>
        <w:t>SLA review</w:t>
      </w:r>
    </w:p>
    <w:p>
      <w:pPr>
        <w:pStyle w:val="ListBullet"/>
      </w:pPr>
      <w:r>
        <w:t>Business continuity review</w:t>
      </w:r>
    </w:p>
    <w:p>
      <w:pPr>
        <w:pStyle w:val="ListBullet"/>
      </w:pPr>
      <w:r>
        <w:t>Exit strategy review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Engineering Environment Register</w:t>
      </w:r>
    </w:p>
    <w:p>
      <w:pPr>
        <w:pStyle w:val="ListBullet"/>
      </w:pPr>
      <w:r>
        <w:t>External Platform Register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REG-009 Supplier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