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JustDefenders® Engineering Library</w:t>
        <w:br/>
      </w:r>
      <w:r>
        <w:rPr>
          <w:b/>
          <w:sz w:val="36"/>
        </w:rPr>
        <w:t>JD-ADR-001</w:t>
        <w:br/>
        <w:t>Platform Architecture</w:t>
        <w:br/>
      </w:r>
    </w:p>
    <w:p>
      <w:r>
        <w:t>Foundation Edition</w:t>
        <w:br/>
        <w:t>Controlled Issue 1</w:t>
      </w:r>
    </w:p>
    <w:p>
      <w:pPr>
        <w:pStyle w:val="Heading1"/>
      </w:pPr>
      <w:r>
        <w:t>Publication Control</w:t>
      </w:r>
    </w:p>
    <w:p>
      <w:r>
        <w:t>Publication: JD-ADR-001 Platform Architecture</w:t>
        <w:br/>
        <w:t>Status: Controlled Publication</w:t>
        <w:br/>
        <w:t>Issue: Controlled Issue 1</w:t>
        <w:br/>
        <w:t>Authority: Engineering Governance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 Jul 2026</w:t>
            </w:r>
          </w:p>
        </w:tc>
        <w:tc>
          <w:tcPr>
            <w:tcW w:type="dxa" w:w="2160"/>
          </w:tcPr>
          <w:p>
            <w:r>
              <w:t>Engineering Governance</w:t>
            </w:r>
          </w:p>
        </w:tc>
        <w:tc>
          <w:tcPr>
            <w:tcW w:type="dxa" w:w="2160"/>
          </w:tcPr>
          <w:p>
            <w:r>
              <w:t>Foundation Edition</w:t>
            </w:r>
          </w:p>
        </w:tc>
      </w:tr>
    </w:tbl>
    <w:p>
      <w:pPr>
        <w:pStyle w:val="Heading1"/>
      </w:pPr>
      <w:r>
        <w:t>Amendment Record</w:t>
      </w:r>
    </w:p>
    <w:p>
      <w:r>
        <w:t>Initial controlled publication.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Preface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Relationship to Other Publications</w:t>
      </w:r>
    </w:p>
    <w:p>
      <w:pPr>
        <w:pStyle w:val="ListBullet"/>
      </w:pPr>
      <w:r>
        <w:t>Architectural Principles</w:t>
      </w:r>
    </w:p>
    <w:p>
      <w:pPr>
        <w:pStyle w:val="ListBullet"/>
      </w:pPr>
      <w:r>
        <w:t>Runtime Ownership</w:t>
      </w:r>
    </w:p>
    <w:p>
      <w:pPr>
        <w:pStyle w:val="ListBullet"/>
      </w:pPr>
      <w:r>
        <w:t>Service Ownership</w:t>
      </w:r>
    </w:p>
    <w:p>
      <w:pPr>
        <w:pStyle w:val="ListBullet"/>
      </w:pPr>
      <w:r>
        <w:t>Module Boundaries</w:t>
      </w:r>
    </w:p>
    <w:p>
      <w:pPr>
        <w:pStyle w:val="ListBullet"/>
      </w:pPr>
      <w:r>
        <w:t>Dependency Rules</w:t>
      </w:r>
    </w:p>
    <w:p>
      <w:pPr>
        <w:pStyle w:val="ListBullet"/>
      </w:pPr>
      <w:r>
        <w:t>Runtime Composition</w:t>
      </w:r>
    </w:p>
    <w:p>
      <w:pPr>
        <w:pStyle w:val="ListBullet"/>
      </w:pPr>
      <w:r>
        <w:t>Operational Registry</w:t>
      </w:r>
    </w:p>
    <w:p>
      <w:pPr>
        <w:pStyle w:val="ListBullet"/>
      </w:pPr>
      <w:r>
        <w:t>Runtime State Ownership</w:t>
      </w:r>
    </w:p>
    <w:p>
      <w:pPr>
        <w:pStyle w:val="ListBullet"/>
      </w:pPr>
      <w:r>
        <w:t>Engineering Decisions</w:t>
      </w:r>
    </w:p>
    <w:p>
      <w:pPr>
        <w:pStyle w:val="ListBullet"/>
      </w:pPr>
      <w:r>
        <w:t>Architecture Contracts</w:t>
      </w:r>
    </w:p>
    <w:p>
      <w:pPr>
        <w:pStyle w:val="ListBullet"/>
      </w:pPr>
      <w:r>
        <w:t>Approved Architectural Deviations</w:t>
      </w:r>
    </w:p>
    <w:p>
      <w:pPr>
        <w:pStyle w:val="ListBullet"/>
      </w:pPr>
      <w:r>
        <w:t>Appendices</w:t>
      </w:r>
    </w:p>
    <w:p>
      <w:pPr>
        <w:pStyle w:val="ListBullet"/>
      </w:pPr>
      <w:r>
        <w:t>Glossary</w:t>
      </w:r>
    </w:p>
    <w:p>
      <w:pPr>
        <w:pStyle w:val="ListBullet"/>
      </w:pPr>
      <w:r>
        <w:t>Acronyms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Index</w:t>
      </w:r>
    </w:p>
    <w:p>
      <w:pPr>
        <w:pStyle w:val="Heading1"/>
      </w:pPr>
      <w:r>
        <w:t>Preface</w:t>
      </w:r>
    </w:p>
    <w:p>
      <w:r>
        <w:t>This publication defines the authoritative architecture of the recovered JustDefenders Platform. It records architectural contracts separately from implementation details so that future engineering changes remain traceable.</w:t>
      </w:r>
    </w:p>
    <w:p>
      <w:pPr>
        <w:pStyle w:val="Heading1"/>
      </w:pPr>
      <w:r>
        <w:t>Purpose</w:t>
      </w:r>
    </w:p>
    <w:p>
      <w:r>
        <w:t>Establish the approved platform architecture, ownership boundaries and engineering contracts governing runtime behaviour.</w:t>
      </w:r>
    </w:p>
    <w:p>
      <w:pPr>
        <w:pStyle w:val="Heading1"/>
      </w:pPr>
      <w:r>
        <w:t>Scope</w:t>
      </w:r>
    </w:p>
    <w:p>
      <w:r>
        <w:t>Applies to platform runtime, services, orchestration, validation, repository organisation and engineering governance.</w:t>
      </w:r>
    </w:p>
    <w:p>
      <w:pPr>
        <w:pStyle w:val="Heading1"/>
      </w:pPr>
      <w:r>
        <w:t>Authority</w:t>
      </w:r>
    </w:p>
    <w:p>
      <w:r>
        <w:t>This is the authoritative architectural reference for the platform.</w:t>
      </w:r>
    </w:p>
    <w:p>
      <w:pPr>
        <w:pStyle w:val="Heading1"/>
      </w:pPr>
      <w:r>
        <w:t>Relationship to Other Publications</w:t>
      </w:r>
    </w:p>
    <w:p>
      <w:r>
        <w:t>Governed by JD-EL-001. Operational procedures are defined in JD-EOM-001. Recovery doctrine and validation are defined in JD-ERP-001 and JD-IVL-001.</w:t>
      </w:r>
    </w:p>
    <w:p>
      <w:pPr>
        <w:pStyle w:val="Heading1"/>
      </w:pPr>
      <w:r>
        <w:t>Chapter 1 – Architectural Principles</w:t>
      </w:r>
    </w:p>
    <w:p>
      <w:r>
        <w:t>The architecture is founded on recovery-first engineering, explicit ownership, deterministic startup, controlled dependencies, configuration management and documentation as an engineering asset.</w:t>
      </w:r>
    </w:p>
    <w:p>
      <w:pPr>
        <w:pStyle w:val="Heading1"/>
      </w:pPr>
      <w:r>
        <w:t>Chapter 2 – Runtime Ownership</w:t>
      </w:r>
    </w:p>
    <w:p>
      <w:r>
        <w:t>Runtime ownership is defined through architectural contracts. Each runtime service has a single owner responsible for lifecycle, health, telemetry and operational state.</w:t>
      </w:r>
    </w:p>
    <w:p>
      <w:pPr>
        <w:pStyle w:val="Heading1"/>
      </w:pPr>
      <w:r>
        <w:t>Chapter 3 – Service Ownership</w:t>
      </w:r>
    </w:p>
    <w:p>
      <w:r>
        <w:t>Services expose documented public interfaces and own their internal implementation. Cross-service interaction occurs only through approved interfaces.</w:t>
      </w:r>
    </w:p>
    <w:p>
      <w:pPr>
        <w:pStyle w:val="Heading1"/>
      </w:pPr>
      <w:r>
        <w:t>Chapter 4 – Module Boundaries</w:t>
      </w:r>
    </w:p>
    <w:p>
      <w:r>
        <w:t>Modules are organised into public APIs, private implementation, runtime services and validation tooling. Internal implementation shall not bypass published boundaries.</w:t>
      </w:r>
    </w:p>
    <w:p>
      <w:pPr>
        <w:pStyle w:val="Heading1"/>
      </w:pPr>
      <w:r>
        <w:t>Chapter 5 – Dependency Rules</w:t>
      </w:r>
    </w:p>
    <w:p>
      <w:r>
        <w:t>Dependencies flow inward toward stable runtime services. Circular dependencies are prohibited. Startup sequencing follows validated dependency order.</w:t>
      </w:r>
    </w:p>
    <w:p>
      <w:pPr>
        <w:pStyle w:val="Heading1"/>
      </w:pPr>
      <w:r>
        <w:t>Chapter 6 – Runtime Composition</w:t>
      </w:r>
    </w:p>
    <w:p>
      <w:r>
        <w:t>Platform composition consists of engineering runtime, managed services, orchestration modules, operational registry, validation toolkit and application workloads.</w:t>
      </w:r>
    </w:p>
    <w:p>
      <w:pPr>
        <w:pStyle w:val="Heading1"/>
      </w:pPr>
      <w:r>
        <w:t>Chapter 7 – Operational Registry</w:t>
      </w:r>
    </w:p>
    <w:p>
      <w:r>
        <w:t>The Operational Registry is the authoritative architectural model describing registered services, lifecycle state, health, metrics and operational metadata.</w:t>
      </w:r>
    </w:p>
    <w:p>
      <w:pPr>
        <w:pStyle w:val="Heading1"/>
      </w:pPr>
      <w:r>
        <w:t>Chapter 8 – Runtime State Ownership</w:t>
      </w:r>
    </w:p>
    <w:p>
      <w:r>
        <w:t>The recovered implementation contains both a Runtime-State singleton and Operational Registry implementation. Architectural doctrine recognises the Operational Registry as the primary ownership contract while documenting the Runtime-State singleton as an approved implementation mechanism where synchronisation is maintained.</w:t>
      </w:r>
    </w:p>
    <w:p>
      <w:pPr>
        <w:pStyle w:val="Heading1"/>
      </w:pPr>
      <w:r>
        <w:t>Chapter 9 – Engineering Decisions</w:t>
      </w:r>
    </w:p>
    <w:p>
      <w:r>
        <w:t>Architectural decisions are recorded using controlled decision records. Approved deviations require documented justification, engineering review and configuration control.</w:t>
      </w:r>
    </w:p>
    <w:p>
      <w:pPr>
        <w:pStyle w:val="Heading1"/>
      </w:pPr>
      <w:r>
        <w:t>Chapter 10 – Architecture Contracts</w:t>
      </w:r>
    </w:p>
    <w:p>
      <w:r>
        <w:t>Contracts define ownership, lifecycle, dependency direction, configuration boundaries, error handling expectations and validation responsibilities.</w:t>
      </w:r>
    </w:p>
    <w:p>
      <w:pPr>
        <w:pStyle w:val="Heading1"/>
      </w:pPr>
      <w:r>
        <w:t>Chapter 11 – Approved Architectural Deviations</w:t>
      </w:r>
    </w:p>
    <w:p>
      <w:r>
        <w:t>Where implementation differs from the ideal architecture, the deviation shall be documented, justified and approved. This includes the coexistence of Runtime-State, Operational-Registry and ManagedService orchestration components introduced during platform recovery.</w:t>
      </w:r>
    </w:p>
    <w:p>
      <w:pPr>
        <w:pStyle w:val="Heading1"/>
      </w:pPr>
      <w:r>
        <w:t>Appendices</w:t>
      </w:r>
    </w:p>
    <w:p>
      <w:r>
        <w:t>Reserved for runtime diagrams, dependency matrices, ownership maps and architectural decision records.</w:t>
      </w:r>
    </w:p>
    <w:p>
      <w:pPr>
        <w:pStyle w:val="Heading1"/>
      </w:pPr>
      <w:r>
        <w:t>Glossary</w:t>
      </w:r>
    </w:p>
    <w:p>
      <w:r>
        <w:t>Operational Registry; Runtime Ownership; Architecture Contract; Managed Service.</w:t>
      </w:r>
    </w:p>
    <w:p>
      <w:pPr>
        <w:pStyle w:val="Heading1"/>
      </w:pPr>
      <w:r>
        <w:t>Acronyms</w:t>
      </w:r>
    </w:p>
    <w:p>
      <w:r>
        <w:t>ADR, API, EDS, ERP, IVL.</w:t>
      </w:r>
    </w:p>
    <w:p>
      <w:pPr>
        <w:pStyle w:val="Heading1"/>
      </w:pPr>
      <w:r>
        <w:t>References</w:t>
      </w:r>
    </w:p>
    <w:p>
      <w:r>
        <w:t>JD-EL-001, JD-EDS-001, JD-EOM-001.</w:t>
      </w:r>
    </w:p>
    <w:p>
      <w:pPr>
        <w:pStyle w:val="Heading1"/>
      </w:pPr>
      <w:r>
        <w:t>Index</w:t>
      </w:r>
    </w:p>
    <w:p>
      <w:r>
        <w:t>Architecture; Operational Registry; Runtime Ownership; Module Boundaries;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