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</w:r>
    </w:p>
    <w:p>
      <w:pPr>
        <w:jc w:val="center"/>
      </w:pPr>
      <w:r>
        <w:rPr>
          <w:b/>
        </w:rPr>
        <w:t>JustDefenders® Engineering Documentation Standard</w:t>
        <w:br/>
      </w:r>
      <w:r>
        <w:t>Edition 2 – Controlled Issue 1</w:t>
        <w:br/>
      </w:r>
      <w:r>
        <w:t>Chapter 3 – Engineering Publication Governance</w:t>
      </w:r>
    </w:p>
    <w:p>
      <w:pPr>
        <w:pStyle w:val="Heading1"/>
      </w:pPr>
      <w:r>
        <w:t>3.1 General</w:t>
      </w:r>
    </w:p>
    <w:p>
      <w:r>
        <w:t>Engineering publications provide the authoritative record of the JustDefenders engineering programme. Governance ensures that every controlled publication is developed, reviewed, approved, maintained and retired in a consistent and auditable manner.</w:t>
      </w:r>
    </w:p>
    <w:p>
      <w:pPr>
        <w:pStyle w:val="Heading1"/>
      </w:pPr>
      <w:r>
        <w:t>3.2 Governance Objectives</w:t>
      </w:r>
    </w:p>
    <w:p>
      <w:pPr>
        <w:pStyle w:val="ListBullet"/>
      </w:pPr>
      <w:r>
        <w:t>Establish clear ownership of engineering publications.</w:t>
      </w:r>
    </w:p>
    <w:p>
      <w:pPr>
        <w:pStyle w:val="ListBullet"/>
      </w:pPr>
      <w:r>
        <w:t>Ensure technical accuracy through structured review.</w:t>
      </w:r>
    </w:p>
    <w:p>
      <w:pPr>
        <w:pStyle w:val="ListBullet"/>
      </w:pPr>
      <w:r>
        <w:t>Maintain consistency across all engineering documentation.</w:t>
      </w:r>
    </w:p>
    <w:p>
      <w:pPr>
        <w:pStyle w:val="ListBullet"/>
      </w:pPr>
      <w:r>
        <w:t>Preserve engineering knowledge throughout the platform lifecycle.</w:t>
      </w:r>
    </w:p>
    <w:p>
      <w:pPr>
        <w:pStyle w:val="ListBullet"/>
      </w:pPr>
      <w:r>
        <w:t>Provide traceability between engineering activities and published documentation.</w:t>
      </w:r>
    </w:p>
    <w:p>
      <w:pPr>
        <w:pStyle w:val="ListBullet"/>
      </w:pPr>
      <w:r>
        <w:t>Support auditability and engineering assurance.</w:t>
      </w:r>
    </w:p>
    <w:p>
      <w:pPr>
        <w:pStyle w:val="ListBullet"/>
      </w:pPr>
      <w:r>
        <w:t>Minimise the risk of obsolete or conflicting technical information.</w:t>
      </w:r>
    </w:p>
    <w:p>
      <w:pPr>
        <w:pStyle w:val="Heading1"/>
      </w:pPr>
      <w:r>
        <w:t>3.3 Controlled Publication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Working Draft</w:t>
            </w:r>
          </w:p>
        </w:tc>
        <w:tc>
          <w:tcPr>
            <w:tcW w:type="dxa" w:w="4320"/>
          </w:tcPr>
          <w:p>
            <w:r>
              <w:t>Publication under active development</w:t>
            </w:r>
          </w:p>
        </w:tc>
      </w:tr>
      <w:tr>
        <w:tc>
          <w:tcPr>
            <w:tcW w:type="dxa" w:w="4320"/>
          </w:tcPr>
          <w:p>
            <w:r>
              <w:t>Technical Review</w:t>
            </w:r>
          </w:p>
        </w:tc>
        <w:tc>
          <w:tcPr>
            <w:tcW w:type="dxa" w:w="4320"/>
          </w:tcPr>
          <w:p>
            <w:r>
              <w:t>Draft undergoing engineering review</w:t>
            </w:r>
          </w:p>
        </w:tc>
      </w:tr>
      <w:tr>
        <w:tc>
          <w:tcPr>
            <w:tcW w:type="dxa" w:w="4320"/>
          </w:tcPr>
          <w:p>
            <w:r>
              <w:t>Editorial Review</w:t>
            </w:r>
          </w:p>
        </w:tc>
        <w:tc>
          <w:tcPr>
            <w:tcW w:type="dxa" w:w="4320"/>
          </w:tcPr>
          <w:p>
            <w:r>
              <w:t>Technical content accepted for publication review</w:t>
            </w:r>
          </w:p>
        </w:tc>
      </w:tr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Formally approved for release</w:t>
            </w:r>
          </w:p>
        </w:tc>
      </w:tr>
      <w:tr>
        <w:tc>
          <w:tcPr>
            <w:tcW w:type="dxa" w:w="4320"/>
          </w:tcPr>
          <w:p>
            <w:r>
              <w:t>Controlled Issue</w:t>
            </w:r>
          </w:p>
        </w:tc>
        <w:tc>
          <w:tcPr>
            <w:tcW w:type="dxa" w:w="4320"/>
          </w:tcPr>
          <w:p>
            <w:r>
              <w:t>Current authoritative engineering publication</w:t>
            </w:r>
          </w:p>
        </w:tc>
      </w:tr>
      <w:tr>
        <w:tc>
          <w:tcPr>
            <w:tcW w:type="dxa" w:w="4320"/>
          </w:tcPr>
          <w:p>
            <w:r>
              <w:t>Superseded</w:t>
            </w:r>
          </w:p>
        </w:tc>
        <w:tc>
          <w:tcPr>
            <w:tcW w:type="dxa" w:w="4320"/>
          </w:tcPr>
          <w:p>
            <w:r>
              <w:t>Replaced by a newer controlled issue</w:t>
            </w:r>
          </w:p>
        </w:tc>
      </w:tr>
      <w:tr>
        <w:tc>
          <w:tcPr>
            <w:tcW w:type="dxa" w:w="4320"/>
          </w:tcPr>
          <w:p>
            <w:r>
              <w:t>Archived</w:t>
            </w:r>
          </w:p>
        </w:tc>
        <w:tc>
          <w:tcPr>
            <w:tcW w:type="dxa" w:w="4320"/>
          </w:tcPr>
          <w:p>
            <w:r>
              <w:t>Retained for historical traceability</w:t>
            </w:r>
          </w:p>
        </w:tc>
      </w:tr>
    </w:tbl>
    <w:p>
      <w:pPr>
        <w:pStyle w:val="Heading1"/>
      </w:pPr>
      <w:r>
        <w:t>3.4 Publication Ownership</w:t>
      </w:r>
    </w:p>
    <w:p>
      <w:r>
        <w:t>Every controlled publication shall identify a Document Owner responsible for technical accuracy, review coordination, revision management, and alignment with the current engineering baseline.</w:t>
      </w:r>
    </w:p>
    <w:p>
      <w:pPr>
        <w:pStyle w:val="Heading1"/>
      </w:pPr>
      <w:r>
        <w:t>3.5 Engineering Review</w:t>
      </w:r>
    </w:p>
    <w:p>
      <w:r>
        <w:t>Independent engineering review shall verify technical correctness, architectural consistency, operational completeness, publication quality and compliance with engineering standards.</w:t>
      </w:r>
    </w:p>
    <w:p>
      <w:pPr>
        <w:pStyle w:val="Heading1"/>
      </w:pPr>
      <w:r>
        <w:t>3.6 Publication Approval</w:t>
      </w:r>
    </w:p>
    <w:p>
      <w:r>
        <w:t>A publication becomes a Controlled Issue only after technical review, approval, document control verification and confirmation that it represents the current engineering baseline.</w:t>
      </w:r>
    </w:p>
    <w:p>
      <w:pPr>
        <w:pStyle w:val="Heading1"/>
      </w:pPr>
      <w:r>
        <w:t>3.7 Engineering Change Control</w:t>
      </w:r>
    </w:p>
    <w:p>
      <w:r>
        <w:t>All substantive engineering changes shall be managed under formal change control and recorded in the revision history.</w:t>
      </w:r>
    </w:p>
    <w:p>
      <w:pPr>
        <w:pStyle w:val="Heading1"/>
      </w:pPr>
      <w:r>
        <w:t>3.8 Publication Review Frequency</w:t>
      </w:r>
    </w:p>
    <w:p>
      <w:r>
        <w:t>Engineering Standards should normally be reviewed annually; Operations Manuals and Recovery Guides every six months; Architecture on significant change or annually; Validation Guides before major releases.</w:t>
      </w:r>
    </w:p>
    <w:p>
      <w:pPr>
        <w:pStyle w:val="Heading1"/>
      </w:pPr>
      <w:r>
        <w:t>3.9 Publication Integrity</w:t>
      </w:r>
    </w:p>
    <w:p>
      <w:r>
        <w:t>Controlled publications shall maintain consistent terminology, accurate references, stable identifiers and clear supersession information.</w:t>
      </w:r>
    </w:p>
    <w:p>
      <w:pPr>
        <w:pStyle w:val="Heading1"/>
      </w:pPr>
      <w:r>
        <w:t>3.10 Governance Principles</w:t>
      </w:r>
    </w:p>
    <w:p>
      <w:r>
        <w:t>Accountability, Authority, Traceability, Consistency, Maintainability, Transparency and Preservation underpin the JustDefenders engineering publication framework.</w:t>
      </w:r>
    </w:p>
    <w:p>
      <w:pPr>
        <w:pStyle w:val="Heading1"/>
      </w:pPr>
      <w:r>
        <w:t>3.11 Governance Lifecycle</w:t>
      </w:r>
    </w:p>
    <w:p>
      <w:r>
        <w:t>The publication lifecycle comprises planning, development, technical review, editorial review, approval, controlled publication, maintenance, revision, supersession and archival.</w:t>
      </w:r>
    </w:p>
    <w:p>
      <w:pPr>
        <w:pStyle w:val="Heading1"/>
      </w:pPr>
      <w:r>
        <w:t>3.12 Summary</w:t>
      </w:r>
    </w:p>
    <w:p>
      <w:r>
        <w:t>Publication governance provides the framework through which engineering knowledge is managed, reviewed, preserved and maintained as a controlled engineering asset.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