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</w:r>
    </w:p>
    <w:p>
      <w:pPr>
        <w:jc w:val="center"/>
      </w:pPr>
      <w:r>
        <w:rPr>
          <w:b/>
        </w:rPr>
        <w:t>JustDefenders® Engineering Documentation Standard</w:t>
        <w:br/>
      </w:r>
      <w:r>
        <w:t>Edition 2 – Controlled Issue 1</w:t>
        <w:br/>
      </w:r>
      <w:r>
        <w:t>Chapter 4 – Publication Lifecycle</w:t>
      </w:r>
    </w:p>
    <w:p>
      <w:pPr>
        <w:pStyle w:val="Heading1"/>
      </w:pPr>
      <w:r>
        <w:t>4.1 Purpose</w:t>
      </w:r>
    </w:p>
    <w:p>
      <w:r>
        <w:t>This chapter defines the lifecycle governing every controlled engineering publication within the JustDefenders Engineering Documentation Library. The lifecycle ensures publications are planned, developed, reviewed, approved, maintained and retired in a controlled and repeatable manner.</w:t>
      </w:r>
    </w:p>
    <w:p>
      <w:pPr>
        <w:pStyle w:val="Heading1"/>
      </w:pPr>
      <w:r>
        <w:t>4.2 Lifecycle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Primary Output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Define scope, audience and objectives</w:t>
            </w:r>
          </w:p>
        </w:tc>
        <w:tc>
          <w:tcPr>
            <w:tcW w:type="dxa" w:w="2880"/>
          </w:tcPr>
          <w:p>
            <w:r>
              <w:t>Publication Plan</w:t>
            </w:r>
          </w:p>
        </w:tc>
      </w:tr>
      <w:tr>
        <w:tc>
          <w:tcPr>
            <w:tcW w:type="dxa" w:w="2880"/>
          </w:tcPr>
          <w:p>
            <w:r>
              <w:t>Authoring</w:t>
            </w:r>
          </w:p>
        </w:tc>
        <w:tc>
          <w:tcPr>
            <w:tcW w:type="dxa" w:w="2880"/>
          </w:tcPr>
          <w:p>
            <w:r>
              <w:t>Develop technical content</w:t>
            </w:r>
          </w:p>
        </w:tc>
        <w:tc>
          <w:tcPr>
            <w:tcW w:type="dxa" w:w="2880"/>
          </w:tcPr>
          <w:p>
            <w:r>
              <w:t>Working Draft</w:t>
            </w:r>
          </w:p>
        </w:tc>
      </w:tr>
      <w:tr>
        <w:tc>
          <w:tcPr>
            <w:tcW w:type="dxa" w:w="2880"/>
          </w:tcPr>
          <w:p>
            <w:r>
              <w:t>Technical Review</w:t>
            </w:r>
          </w:p>
        </w:tc>
        <w:tc>
          <w:tcPr>
            <w:tcW w:type="dxa" w:w="2880"/>
          </w:tcPr>
          <w:p>
            <w:r>
              <w:t>Verify engineering accuracy</w:t>
            </w:r>
          </w:p>
        </w:tc>
        <w:tc>
          <w:tcPr>
            <w:tcW w:type="dxa" w:w="2880"/>
          </w:tcPr>
          <w:p>
            <w:r>
              <w:t>Reviewed Draft</w:t>
            </w:r>
          </w:p>
        </w:tc>
      </w:tr>
      <w:tr>
        <w:tc>
          <w:tcPr>
            <w:tcW w:type="dxa" w:w="2880"/>
          </w:tcPr>
          <w:p>
            <w:r>
              <w:t>Editorial Review</w:t>
            </w:r>
          </w:p>
        </w:tc>
        <w:tc>
          <w:tcPr>
            <w:tcW w:type="dxa" w:w="2880"/>
          </w:tcPr>
          <w:p>
            <w:r>
              <w:t>Check structure and consistency</w:t>
            </w:r>
          </w:p>
        </w:tc>
        <w:tc>
          <w:tcPr>
            <w:tcW w:type="dxa" w:w="2880"/>
          </w:tcPr>
          <w:p>
            <w:r>
              <w:t>Publication Draft</w:t>
            </w:r>
          </w:p>
        </w:tc>
      </w:tr>
      <w:tr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Authorise release</w:t>
            </w:r>
          </w:p>
        </w:tc>
        <w:tc>
          <w:tcPr>
            <w:tcW w:type="dxa" w:w="2880"/>
          </w:tcPr>
          <w:p>
            <w:r>
              <w:t>Approved Edition</w:t>
            </w:r>
          </w:p>
        </w:tc>
      </w:tr>
      <w:tr>
        <w:tc>
          <w:tcPr>
            <w:tcW w:type="dxa" w:w="2880"/>
          </w:tcPr>
          <w:p>
            <w:r>
              <w:t>Publication</w:t>
            </w:r>
          </w:p>
        </w:tc>
        <w:tc>
          <w:tcPr>
            <w:tcW w:type="dxa" w:w="2880"/>
          </w:tcPr>
          <w:p>
            <w:r>
              <w:t>Issue controlled document</w:t>
            </w:r>
          </w:p>
        </w:tc>
        <w:tc>
          <w:tcPr>
            <w:tcW w:type="dxa" w:w="2880"/>
          </w:tcPr>
          <w:p>
            <w:r>
              <w:t>Controlled Issue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Keep content current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</w:tr>
      <w:tr>
        <w:tc>
          <w:tcPr>
            <w:tcW w:type="dxa" w:w="2880"/>
          </w:tcPr>
          <w:p>
            <w:r>
              <w:t>Supersession</w:t>
            </w:r>
          </w:p>
        </w:tc>
        <w:tc>
          <w:tcPr>
            <w:tcW w:type="dxa" w:w="2880"/>
          </w:tcPr>
          <w:p>
            <w:r>
              <w:t>Replace with newer edition</w:t>
            </w:r>
          </w:p>
        </w:tc>
        <w:tc>
          <w:tcPr>
            <w:tcW w:type="dxa" w:w="2880"/>
          </w:tcPr>
          <w:p>
            <w:r>
              <w:t>Superseded Edition</w:t>
            </w:r>
          </w:p>
        </w:tc>
      </w:tr>
      <w:tr>
        <w:tc>
          <w:tcPr>
            <w:tcW w:type="dxa" w:w="2880"/>
          </w:tcPr>
          <w:p>
            <w:r>
              <w:t>Archive</w:t>
            </w:r>
          </w:p>
        </w:tc>
        <w:tc>
          <w:tcPr>
            <w:tcW w:type="dxa" w:w="2880"/>
          </w:tcPr>
          <w:p>
            <w:r>
              <w:t>Preserve history</w:t>
            </w:r>
          </w:p>
        </w:tc>
        <w:tc>
          <w:tcPr>
            <w:tcW w:type="dxa" w:w="2880"/>
          </w:tcPr>
          <w:p>
            <w:r>
              <w:t>Archived Record</w:t>
            </w:r>
          </w:p>
        </w:tc>
      </w:tr>
    </w:tbl>
    <w:p>
      <w:pPr>
        <w:pStyle w:val="Heading1"/>
      </w:pPr>
      <w:r>
        <w:t>4.3 Planning</w:t>
      </w:r>
    </w:p>
    <w:p>
      <w:r>
        <w:t>Each publication shall begin with a clearly defined purpose, scope, intended audience and nominated document owner.</w:t>
      </w:r>
    </w:p>
    <w:p>
      <w:pPr>
        <w:pStyle w:val="Heading1"/>
      </w:pPr>
      <w:r>
        <w:t>4.4 Authoring</w:t>
      </w:r>
    </w:p>
    <w:p>
      <w:r>
        <w:t>Working drafts shall be developed using approved templates and engineering terminology. Drafts are not authoritative references.</w:t>
      </w:r>
    </w:p>
    <w:p>
      <w:pPr>
        <w:pStyle w:val="Heading1"/>
      </w:pPr>
      <w:r>
        <w:t>4.5 Review</w:t>
      </w:r>
    </w:p>
    <w:p>
      <w:r>
        <w:t>Technical and editorial reviews shall be completed before approval. All significant review comments shall be resolved or formally dispositioned.</w:t>
      </w:r>
    </w:p>
    <w:p>
      <w:pPr>
        <w:pStyle w:val="Heading1"/>
      </w:pPr>
      <w:r>
        <w:t>4.6 Approval</w:t>
      </w:r>
    </w:p>
    <w:p>
      <w:r>
        <w:t>Approval confirms the publication accurately represents the engineering baseline and satisfies document control requirements.</w:t>
      </w:r>
    </w:p>
    <w:p>
      <w:pPr>
        <w:pStyle w:val="Heading1"/>
      </w:pPr>
      <w:r>
        <w:t>4.7 Controlled Publication</w:t>
      </w:r>
    </w:p>
    <w:p>
      <w:r>
        <w:t>Only one controlled issue of a publication shall be current at any time. It becomes the authoritative engineering reference.</w:t>
      </w:r>
    </w:p>
    <w:p>
      <w:pPr>
        <w:pStyle w:val="Heading1"/>
      </w:pPr>
      <w:r>
        <w:t>4.8 Maintenance</w:t>
      </w:r>
    </w:p>
    <w:p>
      <w:r>
        <w:t>Publications shall be reviewed whenever significant engineering change occurs and at their scheduled review interval.</w:t>
      </w:r>
    </w:p>
    <w:p>
      <w:pPr>
        <w:pStyle w:val="Heading1"/>
      </w:pPr>
      <w:r>
        <w:t>4.9 Supersession</w:t>
      </w:r>
    </w:p>
    <w:p>
      <w:r>
        <w:t>A new controlled issue supersedes previous editions. Earlier editions remain archived for historical traceability.</w:t>
      </w:r>
    </w:p>
    <w:p>
      <w:pPr>
        <w:pStyle w:val="Heading1"/>
      </w:pPr>
      <w:r>
        <w:t>4.10 Lifecycle Principles</w:t>
      </w:r>
    </w:p>
    <w:p>
      <w:r>
        <w:t>The publication lifecycle shall be repeatable, auditable, traceable, maintainable and aligned with the engineering baseline.</w:t>
      </w:r>
    </w:p>
    <w:p>
      <w:pPr>
        <w:pStyle w:val="Heading1"/>
      </w:pPr>
      <w:r>
        <w:t>4.11 Lifecycle Summary</w:t>
      </w:r>
    </w:p>
    <w:p>
      <w:r>
        <w:t>The publication lifecycle provides the governance framework through which engineering knowledge evolves from initial draft to controlled publication while preserving quality, traceability and historical continuity.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