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</w:r>
    </w:p>
    <w:p>
      <w:pPr>
        <w:jc w:val="center"/>
      </w:pPr>
      <w:r>
        <w:rPr>
          <w:b/>
        </w:rPr>
        <w:t>JustDefenders® Engineering Documentation Standard</w:t>
        <w:br/>
      </w:r>
      <w:r>
        <w:t>Edition 2 – Controlled Issue 1</w:t>
        <w:br/>
      </w:r>
      <w:r>
        <w:t>Chapter 7 – Quality Assurance and Quality Gates</w:t>
      </w:r>
    </w:p>
    <w:p>
      <w:pPr>
        <w:pStyle w:val="Heading1"/>
      </w:pPr>
      <w:r>
        <w:t>7.1 Purpose</w:t>
      </w:r>
    </w:p>
    <w:p>
      <w:r>
        <w:t>This chapter defines the quality assurance framework for controlled engineering publications. Quality assurance provides confidence that published documentation is accurate, complete, consistent and suitable for operational use.</w:t>
      </w:r>
    </w:p>
    <w:p>
      <w:pPr>
        <w:pStyle w:val="Heading1"/>
      </w:pPr>
      <w:r>
        <w:t>7.2 Quality Principles</w:t>
      </w:r>
    </w:p>
    <w:p>
      <w:pPr>
        <w:pStyle w:val="ListBullet"/>
      </w:pPr>
      <w:r>
        <w:t>Quality is planned rather than inspected in at the end.</w:t>
      </w:r>
    </w:p>
    <w:p>
      <w:pPr>
        <w:pStyle w:val="ListBullet"/>
      </w:pPr>
      <w:r>
        <w:t>Documentation shall reflect the approved engineering baseline.</w:t>
      </w:r>
    </w:p>
    <w:p>
      <w:pPr>
        <w:pStyle w:val="ListBullet"/>
      </w:pPr>
      <w:r>
        <w:t>All controlled publications shall undergo defined quality gates.</w:t>
      </w:r>
    </w:p>
    <w:p>
      <w:pPr>
        <w:pStyle w:val="ListBullet"/>
      </w:pPr>
      <w:r>
        <w:t>Evidence supporting quality decisions shall be retained.</w:t>
      </w:r>
    </w:p>
    <w:p>
      <w:pPr>
        <w:pStyle w:val="Heading1"/>
      </w:pPr>
      <w:r>
        <w:t>7.3 Quality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Gate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Responsible Role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</w:tr>
      <w:tr>
        <w:tc>
          <w:tcPr>
            <w:tcW w:type="dxa" w:w="1728"/>
          </w:tcPr>
          <w:p>
            <w:r>
              <w:t>QG-1</w:t>
            </w:r>
          </w:p>
        </w:tc>
        <w:tc>
          <w:tcPr>
            <w:tcW w:type="dxa" w:w="1728"/>
          </w:tcPr>
          <w:p>
            <w:r>
              <w:t>Author completeness</w:t>
            </w:r>
          </w:p>
        </w:tc>
        <w:tc>
          <w:tcPr>
            <w:tcW w:type="dxa" w:w="1728"/>
          </w:tcPr>
          <w:p>
            <w:r>
              <w:t>Draft checklist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Ready for review</w:t>
            </w:r>
          </w:p>
        </w:tc>
      </w:tr>
      <w:tr>
        <w:tc>
          <w:tcPr>
            <w:tcW w:type="dxa" w:w="1728"/>
          </w:tcPr>
          <w:p>
            <w:r>
              <w:t>QG-2</w:t>
            </w:r>
          </w:p>
        </w:tc>
        <w:tc>
          <w:tcPr>
            <w:tcW w:type="dxa" w:w="1728"/>
          </w:tcPr>
          <w:p>
            <w:r>
              <w:t>Technical accuracy</w:t>
            </w:r>
          </w:p>
        </w:tc>
        <w:tc>
          <w:tcPr>
            <w:tcW w:type="dxa" w:w="1728"/>
          </w:tcPr>
          <w:p>
            <w:r>
              <w:t>Resolved review comments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Technically accepted</w:t>
            </w:r>
          </w:p>
        </w:tc>
      </w:tr>
      <w:tr>
        <w:tc>
          <w:tcPr>
            <w:tcW w:type="dxa" w:w="1728"/>
          </w:tcPr>
          <w:p>
            <w:r>
              <w:t>QG-3</w:t>
            </w:r>
          </w:p>
        </w:tc>
        <w:tc>
          <w:tcPr>
            <w:tcW w:type="dxa" w:w="1728"/>
          </w:tcPr>
          <w:p>
            <w:r>
              <w:t>Editorial quality</w:t>
            </w:r>
          </w:p>
        </w:tc>
        <w:tc>
          <w:tcPr>
            <w:tcW w:type="dxa" w:w="1728"/>
          </w:tcPr>
          <w:p>
            <w:r>
              <w:t>Formatting and metadata verified</w:t>
            </w:r>
          </w:p>
        </w:tc>
        <w:tc>
          <w:tcPr>
            <w:tcW w:type="dxa" w:w="1728"/>
          </w:tcPr>
          <w:p>
            <w:r>
              <w:t>Document Owner</w:t>
            </w:r>
          </w:p>
        </w:tc>
        <w:tc>
          <w:tcPr>
            <w:tcW w:type="dxa" w:w="1728"/>
          </w:tcPr>
          <w:p>
            <w:r>
              <w:t>Ready for approval</w:t>
            </w:r>
          </w:p>
        </w:tc>
      </w:tr>
      <w:tr>
        <w:tc>
          <w:tcPr>
            <w:tcW w:type="dxa" w:w="1728"/>
          </w:tcPr>
          <w:p>
            <w:r>
              <w:t>QG-4</w:t>
            </w:r>
          </w:p>
        </w:tc>
        <w:tc>
          <w:tcPr>
            <w:tcW w:type="dxa" w:w="1728"/>
          </w:tcPr>
          <w:p>
            <w:r>
              <w:t>Publication control</w:t>
            </w:r>
          </w:p>
        </w:tc>
        <w:tc>
          <w:tcPr>
            <w:tcW w:type="dxa" w:w="1728"/>
          </w:tcPr>
          <w:p>
            <w:r>
              <w:t>Approval record</w:t>
            </w:r>
          </w:p>
        </w:tc>
        <w:tc>
          <w:tcPr>
            <w:tcW w:type="dxa" w:w="1728"/>
          </w:tcPr>
          <w:p>
            <w:r>
              <w:t>Engineering Lead</w:t>
            </w:r>
          </w:p>
        </w:tc>
        <w:tc>
          <w:tcPr>
            <w:tcW w:type="dxa" w:w="1728"/>
          </w:tcPr>
          <w:p>
            <w:r>
              <w:t>Controlled Issue</w:t>
            </w:r>
          </w:p>
        </w:tc>
      </w:tr>
      <w:tr>
        <w:tc>
          <w:tcPr>
            <w:tcW w:type="dxa" w:w="1728"/>
          </w:tcPr>
          <w:p>
            <w:r>
              <w:t>QG-5</w:t>
            </w:r>
          </w:p>
        </w:tc>
        <w:tc>
          <w:tcPr>
            <w:tcW w:type="dxa" w:w="1728"/>
          </w:tcPr>
          <w:p>
            <w:r>
              <w:t>Maintenance review</w:t>
            </w:r>
          </w:p>
        </w:tc>
        <w:tc>
          <w:tcPr>
            <w:tcW w:type="dxa" w:w="1728"/>
          </w:tcPr>
          <w:p>
            <w:r>
              <w:t>Scheduled review record</w:t>
            </w:r>
          </w:p>
        </w:tc>
        <w:tc>
          <w:tcPr>
            <w:tcW w:type="dxa" w:w="1728"/>
          </w:tcPr>
          <w:p>
            <w:r>
              <w:t>Document Owner</w:t>
            </w:r>
          </w:p>
        </w:tc>
        <w:tc>
          <w:tcPr>
            <w:tcW w:type="dxa" w:w="1728"/>
          </w:tcPr>
          <w:p>
            <w:r>
              <w:t>Retained or revised</w:t>
            </w:r>
          </w:p>
        </w:tc>
      </w:tr>
    </w:tbl>
    <w:p>
      <w:pPr>
        <w:pStyle w:val="Heading1"/>
      </w:pPr>
      <w:r>
        <w:t>7.4 Acceptance Criteria</w:t>
      </w:r>
    </w:p>
    <w:p>
      <w:r>
        <w:t>A publication shall satisfy its defined scope, contain complete document control information, maintain accurate cross-references and present technically correct content.</w:t>
      </w:r>
    </w:p>
    <w:p>
      <w:pPr>
        <w:pStyle w:val="Heading1"/>
      </w:pPr>
      <w:r>
        <w:t>7.5 Quality Metrics</w:t>
      </w:r>
    </w:p>
    <w:p>
      <w:r>
        <w:t>Suggested quality indicators include review completion, unresolved findings, publication currency, scheduled review compliance and documentation coverage.</w:t>
      </w:r>
    </w:p>
    <w:p>
      <w:pPr>
        <w:pStyle w:val="Heading1"/>
      </w:pPr>
      <w:r>
        <w:t>7.6 Non-Conformities</w:t>
      </w:r>
    </w:p>
    <w:p>
      <w:r>
        <w:t>Material deficiencies identified during review shall be recorded, assessed and resolved before publication wherever practical.</w:t>
      </w:r>
    </w:p>
    <w:p>
      <w:pPr>
        <w:pStyle w:val="Heading1"/>
      </w:pPr>
      <w:r>
        <w:t>7.7 Continuous Quality Improvement</w:t>
      </w:r>
    </w:p>
    <w:p>
      <w:r>
        <w:t>Review outcomes and lessons learned should be incorporated into future editions to improve consistency and maintainability across the engineering library.</w:t>
      </w:r>
    </w:p>
    <w:p>
      <w:pPr>
        <w:pStyle w:val="Heading1"/>
      </w:pPr>
      <w:r>
        <w:t>7.8 Responsibilities</w:t>
      </w:r>
    </w:p>
    <w:p>
      <w:r>
        <w:t>Authors create quality content, reviewers verify it, document owners maintain publication integrity and approving authorities authorise controlled release.</w:t>
      </w:r>
    </w:p>
    <w:p>
      <w:pPr>
        <w:pStyle w:val="Heading1"/>
      </w:pPr>
      <w:r>
        <w:t>7.9 Chapter Summary</w:t>
      </w:r>
    </w:p>
    <w:p>
      <w:r>
        <w:t>Quality assurance provides a repeatable framework for producing dependable engineering publications that can be trusted as authoritative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