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r>
    </w:p>
    <w:p>
      <w:pPr>
        <w:jc w:val="center"/>
      </w:pPr>
      <w:r>
        <w:rPr>
          <w:b/>
        </w:rPr>
        <w:t>JustDefenders® Engineering Documentation Standard</w:t>
        <w:br/>
      </w:r>
      <w:r>
        <w:t>Edition 2 – Controlled Issue 1</w:t>
        <w:br/>
      </w:r>
      <w:r>
        <w:t>Chapter 8 – Traceability and Cross-Referencing</w:t>
      </w:r>
    </w:p>
    <w:p>
      <w:pPr>
        <w:pStyle w:val="Heading1"/>
      </w:pPr>
      <w:r>
        <w:t>8.1 Purpose</w:t>
      </w:r>
    </w:p>
    <w:p>
      <w:r>
        <w:t>This chapter establishes the principles for maintaining traceability across the JustDefenders Engineering Documentation Library. Traceability ensures that engineering decisions, implementation activities, operational procedures and validation evidence remain connected throughout the platform lifecycle.</w:t>
      </w:r>
    </w:p>
    <w:p>
      <w:pPr>
        <w:pStyle w:val="Heading1"/>
      </w:pPr>
      <w:r>
        <w:t>8.2 Traceability Principles</w:t>
      </w:r>
    </w:p>
    <w:p>
      <w:pPr>
        <w:pStyle w:val="ListBullet"/>
      </w:pPr>
      <w:r>
        <w:t>Every controlled publication shall identify its relationship to other controlled publications.</w:t>
      </w:r>
    </w:p>
    <w:p>
      <w:pPr>
        <w:pStyle w:val="ListBullet"/>
      </w:pPr>
      <w:r>
        <w:t>Engineering decisions should be traceable to supporting architecture and operational guidance.</w:t>
      </w:r>
    </w:p>
    <w:p>
      <w:pPr>
        <w:pStyle w:val="ListBullet"/>
      </w:pPr>
      <w:r>
        <w:t>Cross-references shall point to the current controlled edition wherever possible.</w:t>
      </w:r>
    </w:p>
    <w:p>
      <w:pPr>
        <w:pStyle w:val="ListBullet"/>
      </w:pPr>
      <w:r>
        <w:t>Duplicate technical content should be avoided in favour of authoritative references.</w:t>
      </w:r>
    </w:p>
    <w:p>
      <w:pPr>
        <w:pStyle w:val="Heading1"/>
      </w:pPr>
      <w:r>
        <w:t>8.3 Traceability Relationships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 Publication</w:t>
            </w:r>
          </w:p>
        </w:tc>
        <w:tc>
          <w:tcPr>
            <w:tcW w:type="dxa" w:w="2160"/>
          </w:tcPr>
          <w:p>
            <w:r>
              <w:t>Related Publication</w:t>
            </w:r>
          </w:p>
        </w:tc>
        <w:tc>
          <w:tcPr>
            <w:tcW w:type="dxa" w:w="2160"/>
          </w:tcPr>
          <w:p>
            <w:r>
              <w:t>Relationship</w:t>
            </w:r>
          </w:p>
        </w:tc>
        <w:tc>
          <w:tcPr>
            <w:tcW w:type="dxa" w:w="2160"/>
          </w:tcPr>
          <w:p>
            <w:r>
              <w:t>Purpose</w:t>
            </w:r>
          </w:p>
        </w:tc>
      </w:tr>
      <w:tr>
        <w:tc>
          <w:tcPr>
            <w:tcW w:type="dxa" w:w="2160"/>
          </w:tcPr>
          <w:p>
            <w:r>
              <w:t>JD-EDS-001</w:t>
            </w:r>
          </w:p>
        </w:tc>
        <w:tc>
          <w:tcPr>
            <w:tcW w:type="dxa" w:w="2160"/>
          </w:tcPr>
          <w:p>
            <w:r>
              <w:t>JD-EOM-001</w:t>
            </w:r>
          </w:p>
        </w:tc>
        <w:tc>
          <w:tcPr>
            <w:tcW w:type="dxa" w:w="2160"/>
          </w:tcPr>
          <w:p>
            <w:r>
              <w:t>Governance</w:t>
            </w:r>
          </w:p>
        </w:tc>
        <w:tc>
          <w:tcPr>
            <w:tcW w:type="dxa" w:w="2160"/>
          </w:tcPr>
          <w:p>
            <w:r>
              <w:t>Documentation standards</w:t>
            </w:r>
          </w:p>
        </w:tc>
      </w:tr>
      <w:tr>
        <w:tc>
          <w:tcPr>
            <w:tcW w:type="dxa" w:w="2160"/>
          </w:tcPr>
          <w:p>
            <w:r>
              <w:t>JD-EOM-001</w:t>
            </w:r>
          </w:p>
        </w:tc>
        <w:tc>
          <w:tcPr>
            <w:tcW w:type="dxa" w:w="2160"/>
          </w:tcPr>
          <w:p>
            <w:r>
              <w:t>JD-ADR-001</w:t>
            </w:r>
          </w:p>
        </w:tc>
        <w:tc>
          <w:tcPr>
            <w:tcW w:type="dxa" w:w="2160"/>
          </w:tcPr>
          <w:p>
            <w:r>
              <w:t>Architecture</w:t>
            </w:r>
          </w:p>
        </w:tc>
        <w:tc>
          <w:tcPr>
            <w:tcW w:type="dxa" w:w="2160"/>
          </w:tcPr>
          <w:p>
            <w:r>
              <w:t>Operational implementation</w:t>
            </w:r>
          </w:p>
        </w:tc>
      </w:tr>
      <w:tr>
        <w:tc>
          <w:tcPr>
            <w:tcW w:type="dxa" w:w="2160"/>
          </w:tcPr>
          <w:p>
            <w:r>
              <w:t>JD-ADR-001</w:t>
            </w:r>
          </w:p>
        </w:tc>
        <w:tc>
          <w:tcPr>
            <w:tcW w:type="dxa" w:w="2160"/>
          </w:tcPr>
          <w:p>
            <w:r>
              <w:t>JD-ERP-001</w:t>
            </w:r>
          </w:p>
        </w:tc>
        <w:tc>
          <w:tcPr>
            <w:tcW w:type="dxa" w:w="2160"/>
          </w:tcPr>
          <w:p>
            <w:r>
              <w:t>Recovery</w:t>
            </w:r>
          </w:p>
        </w:tc>
        <w:tc>
          <w:tcPr>
            <w:tcW w:type="dxa" w:w="2160"/>
          </w:tcPr>
          <w:p>
            <w:r>
              <w:t>Recovery architecture</w:t>
            </w:r>
          </w:p>
        </w:tc>
      </w:tr>
      <w:tr>
        <w:tc>
          <w:tcPr>
            <w:tcW w:type="dxa" w:w="2160"/>
          </w:tcPr>
          <w:p>
            <w:r>
              <w:t>JD-ERP-001</w:t>
            </w:r>
          </w:p>
        </w:tc>
        <w:tc>
          <w:tcPr>
            <w:tcW w:type="dxa" w:w="2160"/>
          </w:tcPr>
          <w:p>
            <w:r>
              <w:t>JD-IVL-001</w:t>
            </w:r>
          </w:p>
        </w:tc>
        <w:tc>
          <w:tcPr>
            <w:tcW w:type="dxa" w:w="2160"/>
          </w:tcPr>
          <w:p>
            <w:r>
              <w:t>Validation</w:t>
            </w:r>
          </w:p>
        </w:tc>
        <w:tc>
          <w:tcPr>
            <w:tcW w:type="dxa" w:w="2160"/>
          </w:tcPr>
          <w:p>
            <w:r>
              <w:t>Recovery verification</w:t>
            </w:r>
          </w:p>
        </w:tc>
      </w:tr>
      <w:tr>
        <w:tc>
          <w:tcPr>
            <w:tcW w:type="dxa" w:w="2160"/>
          </w:tcPr>
          <w:p>
            <w:r>
              <w:t>JD-IVL-001</w:t>
            </w:r>
          </w:p>
        </w:tc>
        <w:tc>
          <w:tcPr>
            <w:tcW w:type="dxa" w:w="2160"/>
          </w:tcPr>
          <w:p>
            <w:r>
              <w:t>JD-EDS-001</w:t>
            </w:r>
          </w:p>
        </w:tc>
        <w:tc>
          <w:tcPr>
            <w:tcW w:type="dxa" w:w="2160"/>
          </w:tcPr>
          <w:p>
            <w:r>
              <w:t>Compliance</w:t>
            </w:r>
          </w:p>
        </w:tc>
        <w:tc>
          <w:tcPr>
            <w:tcW w:type="dxa" w:w="2160"/>
          </w:tcPr>
          <w:p>
            <w:r>
              <w:t>Validation against standards</w:t>
            </w:r>
          </w:p>
        </w:tc>
      </w:tr>
    </w:tbl>
    <w:p>
      <w:pPr>
        <w:pStyle w:val="Heading1"/>
      </w:pPr>
      <w:r>
        <w:t>8.4 Cross-Referencing</w:t>
      </w:r>
    </w:p>
    <w:p>
      <w:r>
        <w:t>References between publications shall use document identifiers, publication titles and controlled edition information to minimise ambiguity and support long-term maintenance.</w:t>
      </w:r>
    </w:p>
    <w:p>
      <w:pPr>
        <w:pStyle w:val="Heading1"/>
      </w:pPr>
      <w:r>
        <w:t>8.5 Engineering Traceability</w:t>
      </w:r>
    </w:p>
    <w:p>
      <w:r>
        <w:t>Traceability should enable engineers to follow the relationship between standards, architecture, operations, recovery and validation without relying on undocumented knowledge.</w:t>
      </w:r>
    </w:p>
    <w:p>
      <w:pPr>
        <w:pStyle w:val="Heading1"/>
      </w:pPr>
      <w:r>
        <w:t>8.6 Maintaining References</w:t>
      </w:r>
    </w:p>
    <w:p>
      <w:r>
        <w:t>Document owners shall review cross-references during each scheduled publication review to ensure links remain valid following new controlled issues.</w:t>
      </w:r>
    </w:p>
    <w:p>
      <w:pPr>
        <w:pStyle w:val="Heading1"/>
      </w:pPr>
      <w:r>
        <w:t>8.7 Traceability Matrix</w:t>
      </w:r>
    </w:p>
    <w:p>
      <w:r>
        <w:t>Where appropriate, publications may include a traceability matrix identifying relationships between engineering requirements, design decisions, operational procedures and validation activities.</w:t>
      </w:r>
    </w:p>
    <w:p>
      <w:pPr>
        <w:pStyle w:val="Heading1"/>
      </w:pPr>
      <w:r>
        <w:t>8.8 Chapter Summary</w:t>
      </w:r>
    </w:p>
    <w:p>
      <w:r>
        <w:t>Traceability strengthens engineering governance by connecting every controlled publication into a coherent and maintainable engineering knowledge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