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10</w:t>
        <w:br/>
        <w:t>Timestamp: 26 July 2026, 08:30</w:t>
        <w:br/>
        <w:t>Status: Draft for Engineering Review</w:t>
      </w:r>
    </w:p>
    <w:p>
      <w:pPr>
        <w:pStyle w:val="Heading1"/>
      </w:pPr>
      <w:r>
        <w:t>Appendix M – Documentation Lifecycle</w:t>
      </w:r>
    </w:p>
    <w:p>
      <w:r>
        <w:t>Every controlled engineering publication should follow a defined lifecycle to ensure consistency, traceability and long-term maintainability.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Lifecycle Stage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1. Proposal</w:t>
            </w:r>
          </w:p>
        </w:tc>
        <w:tc>
          <w:tcPr>
            <w:tcW w:type="dxa" w:w="4320"/>
          </w:tcPr>
          <w:p>
            <w:r>
              <w:t>Identify the need for a new controlled publication.</w:t>
            </w:r>
          </w:p>
        </w:tc>
      </w:tr>
      <w:tr>
        <w:tc>
          <w:tcPr>
            <w:tcW w:type="dxa" w:w="4320"/>
          </w:tcPr>
          <w:p>
            <w:r>
              <w:t>2. Authoring</w:t>
            </w:r>
          </w:p>
        </w:tc>
        <w:tc>
          <w:tcPr>
            <w:tcW w:type="dxa" w:w="4320"/>
          </w:tcPr>
          <w:p>
            <w:r>
              <w:t>Prepare technical content using the approved template.</w:t>
            </w:r>
          </w:p>
        </w:tc>
      </w:tr>
      <w:tr>
        <w:tc>
          <w:tcPr>
            <w:tcW w:type="dxa" w:w="4320"/>
          </w:tcPr>
          <w:p>
            <w:r>
              <w:t>3. Technical Review</w:t>
            </w:r>
          </w:p>
        </w:tc>
        <w:tc>
          <w:tcPr>
            <w:tcW w:type="dxa" w:w="4320"/>
          </w:tcPr>
          <w:p>
            <w:r>
              <w:t>Verify technical accuracy and completeness.</w:t>
            </w:r>
          </w:p>
        </w:tc>
      </w:tr>
      <w:tr>
        <w:tc>
          <w:tcPr>
            <w:tcW w:type="dxa" w:w="4320"/>
          </w:tcPr>
          <w:p>
            <w:r>
              <w:t>4. Approval</w:t>
            </w:r>
          </w:p>
        </w:tc>
        <w:tc>
          <w:tcPr>
            <w:tcW w:type="dxa" w:w="4320"/>
          </w:tcPr>
          <w:p>
            <w:r>
              <w:t>Record formal approval before publication.</w:t>
            </w:r>
          </w:p>
        </w:tc>
      </w:tr>
      <w:tr>
        <w:tc>
          <w:tcPr>
            <w:tcW w:type="dxa" w:w="4320"/>
          </w:tcPr>
          <w:p>
            <w:r>
              <w:t>5. Publication</w:t>
            </w:r>
          </w:p>
        </w:tc>
        <w:tc>
          <w:tcPr>
            <w:tcW w:type="dxa" w:w="4320"/>
          </w:tcPr>
          <w:p>
            <w:r>
              <w:t>Release the controlled edition into the engineering library.</w:t>
            </w:r>
          </w:p>
        </w:tc>
      </w:tr>
      <w:tr>
        <w:tc>
          <w:tcPr>
            <w:tcW w:type="dxa" w:w="4320"/>
          </w:tcPr>
          <w:p>
            <w:r>
              <w:t>6. Maintenance</w:t>
            </w:r>
          </w:p>
        </w:tc>
        <w:tc>
          <w:tcPr>
            <w:tcW w:type="dxa" w:w="4320"/>
          </w:tcPr>
          <w:p>
            <w:r>
              <w:t>Update the publication as the platform evolves.</w:t>
            </w:r>
          </w:p>
        </w:tc>
      </w:tr>
      <w:tr>
        <w:tc>
          <w:tcPr>
            <w:tcW w:type="dxa" w:w="4320"/>
          </w:tcPr>
          <w:p>
            <w:r>
              <w:t>7. Archival</w:t>
            </w:r>
          </w:p>
        </w:tc>
        <w:tc>
          <w:tcPr>
            <w:tcW w:type="dxa" w:w="4320"/>
          </w:tcPr>
          <w:p>
            <w:r>
              <w:t>Retain superseded editions for historical traceability.</w:t>
            </w:r>
          </w:p>
        </w:tc>
      </w:tr>
    </w:tbl>
    <w:p>
      <w:pPr>
        <w:pStyle w:val="Heading1"/>
      </w:pPr>
      <w:r>
        <w:t>Appendix N – Engineering Metadata</w:t>
      </w:r>
    </w:p>
    <w:p>
      <w:pPr>
        <w:pStyle w:val="ListBullet"/>
      </w:pPr>
      <w:r>
        <w:t>Document Identifier</w:t>
      </w:r>
    </w:p>
    <w:p>
      <w:pPr>
        <w:pStyle w:val="ListBullet"/>
      </w:pPr>
      <w:r>
        <w:t>Edition</w:t>
      </w:r>
    </w:p>
    <w:p>
      <w:pPr>
        <w:pStyle w:val="ListBullet"/>
      </w:pPr>
      <w:r>
        <w:t>Version</w:t>
      </w:r>
    </w:p>
    <w:p>
      <w:pPr>
        <w:pStyle w:val="ListBullet"/>
      </w:pPr>
      <w:r>
        <w:t>Publication Date</w:t>
      </w:r>
    </w:p>
    <w:p>
      <w:pPr>
        <w:pStyle w:val="ListBullet"/>
      </w:pPr>
      <w:r>
        <w:t>Repository</w:t>
      </w:r>
    </w:p>
    <w:p>
      <w:pPr>
        <w:pStyle w:val="ListBullet"/>
      </w:pPr>
      <w:r>
        <w:t>Branch</w:t>
      </w:r>
    </w:p>
    <w:p>
      <w:pPr>
        <w:pStyle w:val="ListBullet"/>
      </w:pPr>
      <w:r>
        <w:t>Commit Hash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Document Owner</w:t>
      </w:r>
    </w:p>
    <w:p>
      <w:pPr>
        <w:pStyle w:val="ListBullet"/>
      </w:pPr>
      <w:r>
        <w:t>Technical Reviewer</w:t>
      </w:r>
    </w:p>
    <w:p>
      <w:pPr>
        <w:pStyle w:val="ListBullet"/>
      </w:pPr>
      <w:r>
        <w:t>Approving Authority</w:t>
      </w:r>
    </w:p>
    <w:p>
      <w:pPr>
        <w:pStyle w:val="Heading1"/>
      </w:pPr>
      <w:r>
        <w:t>Appendix O – Continuous Improvement</w:t>
      </w:r>
    </w:p>
    <w:p>
      <w:r>
        <w:t>Engineering documentation should evolve with the platform. Feedback from implementation, validation, operations and recovery activities should be captured and incorporated into future editions through the controlled revision process.</w:t>
      </w:r>
    </w:p>
    <w:p>
      <w:pPr>
        <w:pStyle w:val="Heading1"/>
      </w:pPr>
      <w:r>
        <w:t>Transition to Consolidated Edition</w:t>
      </w:r>
    </w:p>
    <w:p>
      <w:r>
        <w:t>Part 10 completes an additional set of governance appendices. The planned next milestone remains the production of a single consolidated Edition 2 publication that integrates all completed material into one cohesive engineering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