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JD-EDS-001</w:t>
        <w:br/>
        <w:t>Engineering Documentation Standard</w:t>
      </w:r>
    </w:p>
    <w:p>
      <w:r>
        <w:t>Edition 2 – Part 11</w:t>
        <w:br/>
        <w:t>Timestamp: 26 July 2026, 08:30</w:t>
        <w:br/>
        <w:t>Status: Draft for Engineering Review</w:t>
      </w:r>
    </w:p>
    <w:p>
      <w:pPr>
        <w:pStyle w:val="Heading1"/>
      </w:pPr>
      <w:r>
        <w:t>Appendix P – Engineering Roles and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Primary Responsibilities</w:t>
            </w:r>
          </w:p>
        </w:tc>
      </w:tr>
      <w:tr>
        <w:tc>
          <w:tcPr>
            <w:tcW w:type="dxa" w:w="4320"/>
          </w:tcPr>
          <w:p>
            <w:r>
              <w:t>Engineering Lead</w:t>
            </w:r>
          </w:p>
        </w:tc>
        <w:tc>
          <w:tcPr>
            <w:tcW w:type="dxa" w:w="4320"/>
          </w:tcPr>
          <w:p>
            <w:r>
              <w:t>Owns technical direction, publication approval and engineering governance.</w:t>
            </w:r>
          </w:p>
        </w:tc>
      </w:tr>
      <w:tr>
        <w:tc>
          <w:tcPr>
            <w:tcW w:type="dxa" w:w="4320"/>
          </w:tcPr>
          <w:p>
            <w:r>
              <w:t>Solution Architect</w:t>
            </w:r>
          </w:p>
        </w:tc>
        <w:tc>
          <w:tcPr>
            <w:tcW w:type="dxa" w:w="4320"/>
          </w:tcPr>
          <w:p>
            <w:r>
              <w:t>Maintains architecture documentation and design decisions.</w:t>
            </w:r>
          </w:p>
        </w:tc>
      </w:tr>
      <w:tr>
        <w:tc>
          <w:tcPr>
            <w:tcW w:type="dxa" w:w="4320"/>
          </w:tcPr>
          <w:p>
            <w:r>
              <w:t>Module Owner</w:t>
            </w:r>
          </w:p>
        </w:tc>
        <w:tc>
          <w:tcPr>
            <w:tcW w:type="dxa" w:w="4320"/>
          </w:tcPr>
          <w:p>
            <w:r>
              <w:t>Maintains documentation for assigned components and interfaces.</w:t>
            </w:r>
          </w:p>
        </w:tc>
      </w:tr>
      <w:tr>
        <w:tc>
          <w:tcPr>
            <w:tcW w:type="dxa" w:w="4320"/>
          </w:tcPr>
          <w:p>
            <w:r>
              <w:t>Reviewer</w:t>
            </w:r>
          </w:p>
        </w:tc>
        <w:tc>
          <w:tcPr>
            <w:tcW w:type="dxa" w:w="4320"/>
          </w:tcPr>
          <w:p>
            <w:r>
              <w:t>Verifies technical correctness, clarity and consistency.</w:t>
            </w:r>
          </w:p>
        </w:tc>
      </w:tr>
      <w:tr>
        <w:tc>
          <w:tcPr>
            <w:tcW w:type="dxa" w:w="4320"/>
          </w:tcPr>
          <w:p>
            <w:r>
              <w:t>Release Manager</w:t>
            </w:r>
          </w:p>
        </w:tc>
        <w:tc>
          <w:tcPr>
            <w:tcW w:type="dxa" w:w="4320"/>
          </w:tcPr>
          <w:p>
            <w:r>
              <w:t>Coordinates publication with software releases and repository baselines.</w:t>
            </w:r>
          </w:p>
        </w:tc>
      </w:tr>
    </w:tbl>
    <w:p>
      <w:pPr>
        <w:pStyle w:val="Heading1"/>
      </w:pPr>
      <w:r>
        <w:t>Appendix Q – Engineering Metrics</w:t>
      </w:r>
    </w:p>
    <w:p>
      <w:pPr>
        <w:pStyle w:val="ListBullet"/>
      </w:pPr>
      <w:r>
        <w:t>Percentage of modules with current documentation</w:t>
      </w:r>
    </w:p>
    <w:p>
      <w:pPr>
        <w:pStyle w:val="ListBullet"/>
      </w:pPr>
      <w:r>
        <w:t>Average age of controlled publications</w:t>
      </w:r>
    </w:p>
    <w:p>
      <w:pPr>
        <w:pStyle w:val="ListBullet"/>
      </w:pPr>
      <w:r>
        <w:t>Outstanding review actions</w:t>
      </w:r>
    </w:p>
    <w:p>
      <w:pPr>
        <w:pStyle w:val="ListBullet"/>
      </w:pPr>
      <w:r>
        <w:t>Architecture decisions recorded</w:t>
      </w:r>
    </w:p>
    <w:p>
      <w:pPr>
        <w:pStyle w:val="ListBullet"/>
      </w:pPr>
      <w:r>
        <w:t>Recovery procedures validated</w:t>
      </w:r>
    </w:p>
    <w:p>
      <w:pPr>
        <w:pStyle w:val="ListBullet"/>
      </w:pPr>
      <w:r>
        <w:t>Documentation defects identified per release</w:t>
      </w:r>
    </w:p>
    <w:p>
      <w:pPr>
        <w:pStyle w:val="ListBullet"/>
      </w:pPr>
      <w:r>
        <w:t>Cross-reference completeness</w:t>
      </w:r>
    </w:p>
    <w:p>
      <w:pPr>
        <w:pStyle w:val="Heading1"/>
      </w:pPr>
      <w:r>
        <w:t>Appendix R – Knowledge Preservation Principles</w:t>
      </w:r>
    </w:p>
    <w:p>
      <w:r>
        <w:t>Engineering documentation should preserve the reasoning behind decisions as well as the implementation itself. Publications should enable future engineers to recover, maintain and extend the platform with confidence, even when original contributors are unavailable.</w:t>
      </w:r>
    </w:p>
    <w:p>
      <w:pPr>
        <w:pStyle w:val="Heading1"/>
      </w:pPr>
      <w:r>
        <w:t>Edition 2 Progress Summary</w:t>
      </w:r>
    </w:p>
    <w:p>
      <w:r>
        <w:t>The accumulated material now represents a comprehensive draft engineering standard. The next publication activity is editorial consolidation, refinement and issue of a single controlled Edition 2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