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JD-EDS-001</w:t>
        <w:br/>
        <w:t>Engineering Documentation Standard</w:t>
      </w:r>
    </w:p>
    <w:p>
      <w:r>
        <w:t>Edition 2 – Part 12</w:t>
        <w:br/>
        <w:t>Timestamp: 26 July 2026, 08:30</w:t>
        <w:br/>
        <w:t>Status: Draft for Engineering Review</w:t>
      </w:r>
    </w:p>
    <w:p>
      <w:pPr>
        <w:pStyle w:val="Heading1"/>
      </w:pPr>
      <w:r>
        <w:t>Appendix S – Engineering Risk Documentation</w:t>
      </w:r>
    </w:p>
    <w:p>
      <w:r>
        <w:t>Engineering documentation should identify technical and operational risks that may affect the platform throughout its lifecycle.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Mitigation</w:t>
            </w:r>
          </w:p>
        </w:tc>
        <w:tc>
          <w:tcPr>
            <w:tcW w:type="dxa" w:w="2160"/>
          </w:tcPr>
          <w:p>
            <w:r>
              <w:t>Documentation</w:t>
            </w:r>
          </w:p>
        </w:tc>
      </w:tr>
      <w:tr>
        <w:tc>
          <w:tcPr>
            <w:tcW w:type="dxa" w:w="2160"/>
          </w:tcPr>
          <w:p>
            <w:r>
              <w:t>Knowledge loss</w:t>
            </w:r>
          </w:p>
        </w:tc>
        <w:tc>
          <w:tcPr>
            <w:tcW w:type="dxa" w:w="2160"/>
          </w:tcPr>
          <w:p>
            <w:r>
              <w:t>Reduced maintainability</w:t>
            </w:r>
          </w:p>
        </w:tc>
        <w:tc>
          <w:tcPr>
            <w:tcW w:type="dxa" w:w="2160"/>
          </w:tcPr>
          <w:p>
            <w:r>
              <w:t>Maintain controlled publications</w:t>
            </w:r>
          </w:p>
        </w:tc>
        <w:tc>
          <w:tcPr>
            <w:tcW w:type="dxa" w:w="2160"/>
          </w:tcPr>
          <w:p>
            <w:r>
              <w:t>Operations Manual</w:t>
            </w:r>
          </w:p>
        </w:tc>
      </w:tr>
      <w:tr>
        <w:tc>
          <w:tcPr>
            <w:tcW w:type="dxa" w:w="2160"/>
          </w:tcPr>
          <w:p>
            <w:r>
              <w:t>Architecture drift</w:t>
            </w:r>
          </w:p>
        </w:tc>
        <w:tc>
          <w:tcPr>
            <w:tcW w:type="dxa" w:w="2160"/>
          </w:tcPr>
          <w:p>
            <w:r>
              <w:t>Inconsistent implementation</w:t>
            </w:r>
          </w:p>
        </w:tc>
        <w:tc>
          <w:tcPr>
            <w:tcW w:type="dxa" w:w="2160"/>
          </w:tcPr>
          <w:p>
            <w:r>
              <w:t>Review ADRs and standards</w:t>
            </w:r>
          </w:p>
        </w:tc>
        <w:tc>
          <w:tcPr>
            <w:tcW w:type="dxa" w:w="2160"/>
          </w:tcPr>
          <w:p>
            <w:r>
              <w:t>Architecture Guide</w:t>
            </w:r>
          </w:p>
        </w:tc>
      </w:tr>
      <w:tr>
        <w:tc>
          <w:tcPr>
            <w:tcW w:type="dxa" w:w="2160"/>
          </w:tcPr>
          <w:p>
            <w:r>
              <w:t>Recovery failure</w:t>
            </w:r>
          </w:p>
        </w:tc>
        <w:tc>
          <w:tcPr>
            <w:tcW w:type="dxa" w:w="2160"/>
          </w:tcPr>
          <w:p>
            <w:r>
              <w:t>Extended outage</w:t>
            </w:r>
          </w:p>
        </w:tc>
        <w:tc>
          <w:tcPr>
            <w:tcW w:type="dxa" w:w="2160"/>
          </w:tcPr>
          <w:p>
            <w:r>
              <w:t>Maintain recovery packages</w:t>
            </w:r>
          </w:p>
        </w:tc>
        <w:tc>
          <w:tcPr>
            <w:tcW w:type="dxa" w:w="2160"/>
          </w:tcPr>
          <w:p>
            <w:r>
              <w:t>Recovery Package</w:t>
            </w:r>
          </w:p>
        </w:tc>
      </w:tr>
      <w:tr>
        <w:tc>
          <w:tcPr>
            <w:tcW w:type="dxa" w:w="2160"/>
          </w:tcPr>
          <w:p>
            <w:r>
              <w:t>Configuration errors</w:t>
            </w:r>
          </w:p>
        </w:tc>
        <w:tc>
          <w:tcPr>
            <w:tcW w:type="dxa" w:w="2160"/>
          </w:tcPr>
          <w:p>
            <w:r>
              <w:t>Deployment defects</w:t>
            </w:r>
          </w:p>
        </w:tc>
        <w:tc>
          <w:tcPr>
            <w:tcW w:type="dxa" w:w="2160"/>
          </w:tcPr>
          <w:p>
            <w:r>
              <w:t>Validate baselines</w:t>
            </w:r>
          </w:p>
        </w:tc>
        <w:tc>
          <w:tcPr>
            <w:tcW w:type="dxa" w:w="2160"/>
          </w:tcPr>
          <w:p>
            <w:r>
              <w:t>Validation Report</w:t>
            </w:r>
          </w:p>
        </w:tc>
      </w:tr>
    </w:tbl>
    <w:p>
      <w:pPr>
        <w:pStyle w:val="Heading1"/>
      </w:pPr>
      <w:r>
        <w:t>Appendix T – Engineering Communication Principles</w:t>
      </w:r>
    </w:p>
    <w:p>
      <w:pPr>
        <w:pStyle w:val="ListBullet"/>
      </w:pPr>
      <w:r>
        <w:t>Communicate design intent clearly.</w:t>
      </w:r>
    </w:p>
    <w:p>
      <w:pPr>
        <w:pStyle w:val="ListBullet"/>
      </w:pPr>
      <w:r>
        <w:t>Record significant technical decisions.</w:t>
      </w:r>
    </w:p>
    <w:p>
      <w:pPr>
        <w:pStyle w:val="ListBullet"/>
      </w:pPr>
      <w:r>
        <w:t>Document assumptions and constraints.</w:t>
      </w:r>
    </w:p>
    <w:p>
      <w:pPr>
        <w:pStyle w:val="ListBullet"/>
      </w:pPr>
      <w:r>
        <w:t>Differentiate verified facts from proposals.</w:t>
      </w:r>
    </w:p>
    <w:p>
      <w:pPr>
        <w:pStyle w:val="ListBullet"/>
      </w:pPr>
      <w:r>
        <w:t>Maintain terminology consistently across publications.</w:t>
      </w:r>
    </w:p>
    <w:p>
      <w:pPr>
        <w:pStyle w:val="ListBullet"/>
      </w:pPr>
      <w:r>
        <w:t>Review documentation alongside code changes.</w:t>
      </w:r>
    </w:p>
    <w:p>
      <w:pPr>
        <w:pStyle w:val="Heading1"/>
      </w:pPr>
      <w:r>
        <w:t>Appendix U – Future Expansion</w:t>
      </w:r>
    </w:p>
    <w:p>
      <w:r>
        <w:t>Future editions may introduce publication numbering guidance, engineering diagram standards, template libraries, automated quality checks, documentation metrics dashboards, and repository validation workflows.</w:t>
      </w:r>
    </w:p>
    <w:p>
      <w:pPr>
        <w:pStyle w:val="Heading1"/>
      </w:pPr>
      <w:r>
        <w:t>Edition 2 Editorial Status</w:t>
      </w:r>
    </w:p>
    <w:p>
      <w:r>
        <w:t>Part 12 extends the supporting appendices. The accumulated content is now suitable for editorial consolidation into a single controlled engineering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