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13</w:t>
        <w:br/>
        <w:t>Timestamp: 26 July 2026, 08:30</w:t>
        <w:br/>
        <w:t>Status: Draft for Engineering Review</w:t>
      </w:r>
    </w:p>
    <w:p>
      <w:pPr>
        <w:pStyle w:val="Heading1"/>
      </w:pPr>
      <w:r>
        <w:t>Appendix V – Engineering Traceability Matrix</w:t>
      </w:r>
    </w:p>
    <w:p>
      <w:r>
        <w:t>Controlled publications should maintain traceability between requirements, architecture, implementation, validation and operational guidance.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Architecture</w:t>
            </w:r>
          </w:p>
        </w:tc>
        <w:tc>
          <w:tcPr>
            <w:tcW w:type="dxa" w:w="1728"/>
          </w:tcPr>
          <w:p>
            <w:r>
              <w:t>Implementation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Operations</w:t>
            </w:r>
          </w:p>
        </w:tc>
      </w:tr>
      <w:tr>
        <w:tc>
          <w:tcPr>
            <w:tcW w:type="dxa" w:w="1728"/>
          </w:tcPr>
          <w:p>
            <w:r>
              <w:t>Platform startup</w:t>
            </w:r>
          </w:p>
        </w:tc>
        <w:tc>
          <w:tcPr>
            <w:tcW w:type="dxa" w:w="1728"/>
          </w:tcPr>
          <w:p>
            <w:r>
              <w:t>Runtime Architecture</w:t>
            </w:r>
          </w:p>
        </w:tc>
        <w:tc>
          <w:tcPr>
            <w:tcW w:type="dxa" w:w="1728"/>
          </w:tcPr>
          <w:p>
            <w:r>
              <w:t>Platform Runtime</w:t>
            </w:r>
          </w:p>
        </w:tc>
        <w:tc>
          <w:tcPr>
            <w:tcW w:type="dxa" w:w="1728"/>
          </w:tcPr>
          <w:p>
            <w:r>
              <w:t>Runtime validation</w:t>
            </w:r>
          </w:p>
        </w:tc>
        <w:tc>
          <w:tcPr>
            <w:tcW w:type="dxa" w:w="1728"/>
          </w:tcPr>
          <w:p>
            <w:r>
              <w:t>Operations Manual</w:t>
            </w:r>
          </w:p>
        </w:tc>
      </w:tr>
      <w:tr>
        <w:tc>
          <w:tcPr>
            <w:tcW w:type="dxa" w:w="1728"/>
          </w:tcPr>
          <w:p>
            <w:r>
              <w:t>Service lifecycle</w:t>
            </w:r>
          </w:p>
        </w:tc>
        <w:tc>
          <w:tcPr>
            <w:tcW w:type="dxa" w:w="1728"/>
          </w:tcPr>
          <w:p>
            <w:r>
              <w:t>Service Host</w:t>
            </w:r>
          </w:p>
        </w:tc>
        <w:tc>
          <w:tcPr>
            <w:tcW w:type="dxa" w:w="1728"/>
          </w:tcPr>
          <w:p>
            <w:r>
              <w:t>Managed Services</w:t>
            </w:r>
          </w:p>
        </w:tc>
        <w:tc>
          <w:tcPr>
            <w:tcW w:type="dxa" w:w="1728"/>
          </w:tcPr>
          <w:p>
            <w:r>
              <w:t>Lifecycle tests</w:t>
            </w:r>
          </w:p>
        </w:tc>
        <w:tc>
          <w:tcPr>
            <w:tcW w:type="dxa" w:w="1728"/>
          </w:tcPr>
          <w:p>
            <w:r>
              <w:t>Runbook</w:t>
            </w:r>
          </w:p>
        </w:tc>
      </w:tr>
      <w:tr>
        <w:tc>
          <w:tcPr>
            <w:tcW w:type="dxa" w:w="1728"/>
          </w:tcPr>
          <w:p>
            <w:r>
              <w:t>Recovery baseline</w:t>
            </w:r>
          </w:p>
        </w:tc>
        <w:tc>
          <w:tcPr>
            <w:tcW w:type="dxa" w:w="1728"/>
          </w:tcPr>
          <w:p>
            <w:r>
              <w:t>Recovery Architecture</w:t>
            </w:r>
          </w:p>
        </w:tc>
        <w:tc>
          <w:tcPr>
            <w:tcW w:type="dxa" w:w="1728"/>
          </w:tcPr>
          <w:p>
            <w:r>
              <w:t>Recovery scripts</w:t>
            </w:r>
          </w:p>
        </w:tc>
        <w:tc>
          <w:tcPr>
            <w:tcW w:type="dxa" w:w="1728"/>
          </w:tcPr>
          <w:p>
            <w:r>
              <w:t>Recovery validation</w:t>
            </w:r>
          </w:p>
        </w:tc>
        <w:tc>
          <w:tcPr>
            <w:tcW w:type="dxa" w:w="1728"/>
          </w:tcPr>
          <w:p>
            <w:r>
              <w:t>Recovery Package</w:t>
            </w:r>
          </w:p>
        </w:tc>
      </w:tr>
      <w:tr>
        <w:tc>
          <w:tcPr>
            <w:tcW w:type="dxa" w:w="1728"/>
          </w:tcPr>
          <w:p>
            <w:r>
              <w:t>Documentation governance</w:t>
            </w:r>
          </w:p>
        </w:tc>
        <w:tc>
          <w:tcPr>
            <w:tcW w:type="dxa" w:w="1728"/>
          </w:tcPr>
          <w:p>
            <w:r>
              <w:t>JD-EDS</w:t>
            </w:r>
          </w:p>
        </w:tc>
        <w:tc>
          <w:tcPr>
            <w:tcW w:type="dxa" w:w="1728"/>
          </w:tcPr>
          <w:p>
            <w:r>
              <w:t>Engineering Library</w:t>
            </w:r>
          </w:p>
        </w:tc>
        <w:tc>
          <w:tcPr>
            <w:tcW w:type="dxa" w:w="1728"/>
          </w:tcPr>
          <w:p>
            <w:r>
              <w:t>Document review</w:t>
            </w:r>
          </w:p>
        </w:tc>
        <w:tc>
          <w:tcPr>
            <w:tcW w:type="dxa" w:w="1728"/>
          </w:tcPr>
          <w:p>
            <w:r>
              <w:t>Publication Register</w:t>
            </w:r>
          </w:p>
        </w:tc>
      </w:tr>
    </w:tbl>
    <w:p>
      <w:pPr>
        <w:pStyle w:val="Heading1"/>
      </w:pPr>
      <w:r>
        <w:t>Appendix W – Documentation Change Categories</w:t>
      </w:r>
    </w:p>
    <w:p>
      <w:pPr>
        <w:pStyle w:val="ListBullet"/>
      </w:pPr>
      <w:r>
        <w:rPr>
          <w:b/>
        </w:rPr>
        <w:t xml:space="preserve">Editorial: </w:t>
      </w:r>
      <w:r>
        <w:t>Formatting, grammar and non-technical corrections.</w:t>
      </w:r>
    </w:p>
    <w:p>
      <w:pPr>
        <w:pStyle w:val="ListBullet"/>
      </w:pPr>
      <w:r>
        <w:rPr>
          <w:b/>
        </w:rPr>
        <w:t xml:space="preserve">Minor Technical: </w:t>
      </w:r>
      <w:r>
        <w:t>Clarifications that do not alter engineering intent.</w:t>
      </w:r>
    </w:p>
    <w:p>
      <w:pPr>
        <w:pStyle w:val="ListBullet"/>
      </w:pPr>
      <w:r>
        <w:rPr>
          <w:b/>
        </w:rPr>
        <w:t xml:space="preserve">Major Technical: </w:t>
      </w:r>
      <w:r>
        <w:t>Architecture, interface or operational changes.</w:t>
      </w:r>
    </w:p>
    <w:p>
      <w:pPr>
        <w:pStyle w:val="ListBullet"/>
      </w:pPr>
      <w:r>
        <w:rPr>
          <w:b/>
        </w:rPr>
        <w:t xml:space="preserve">Controlled Revision: </w:t>
      </w:r>
      <w:r>
        <w:t>Approved publication of a new version.</w:t>
      </w:r>
    </w:p>
    <w:p>
      <w:pPr>
        <w:pStyle w:val="Heading1"/>
      </w:pPr>
      <w:r>
        <w:t>Appendix X – Long-Term Preservation</w:t>
      </w:r>
    </w:p>
    <w:p>
      <w:r>
        <w:t>Engineering publications should be stored with version history, repository baseline references and archived editions so that any released platform state can be reconstructed together with the documentation that described it.</w:t>
      </w:r>
    </w:p>
    <w:p>
      <w:pPr>
        <w:pStyle w:val="Heading1"/>
      </w:pPr>
      <w:r>
        <w:t>Edition 2 Status</w:t>
      </w:r>
    </w:p>
    <w:p>
      <w:r>
        <w:t>Part 13 extends the governance reference material with traceability and change management guidance. The publication is now well positioned for consolidation into a single controlled engineering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