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JD-EDS-001</w:t>
        <w:br/>
        <w:t>Engineering Documentation Standard</w:t>
      </w:r>
    </w:p>
    <w:p>
      <w:r>
        <w:t>Edition 2 – Part 14</w:t>
        <w:br/>
        <w:t>Timestamp: 26 July 2026, 08:30</w:t>
        <w:br/>
        <w:t>Status: Draft for Engineering Review</w:t>
      </w:r>
    </w:p>
    <w:p>
      <w:pPr>
        <w:pStyle w:val="Heading1"/>
      </w:pPr>
      <w:r>
        <w:t>Appendix Y – Engineering Audit Framework</w:t>
      </w:r>
    </w:p>
    <w:p>
      <w:r>
        <w:t>Periodic audits help ensure that controlled engineering publications remain accurate, complete and aligned with the current repository baseline.</w:t>
      </w:r>
    </w:p>
    <w:p>
      <w:pPr>
        <w:pStyle w:val="ListBullet"/>
      </w:pPr>
      <w:r>
        <w:t>Verify document identifier and version.</w:t>
      </w:r>
    </w:p>
    <w:p>
      <w:pPr>
        <w:pStyle w:val="ListBullet"/>
      </w:pPr>
      <w:r>
        <w:t>Confirm repository branch, tag and commit references.</w:t>
      </w:r>
    </w:p>
    <w:p>
      <w:pPr>
        <w:pStyle w:val="ListBullet"/>
      </w:pPr>
      <w:r>
        <w:t>Check cross-references to related publications.</w:t>
      </w:r>
    </w:p>
    <w:p>
      <w:pPr>
        <w:pStyle w:val="ListBullet"/>
      </w:pPr>
      <w:r>
        <w:t>Validate architecture diagrams against implementation.</w:t>
      </w:r>
    </w:p>
    <w:p>
      <w:pPr>
        <w:pStyle w:val="ListBullet"/>
      </w:pPr>
      <w:r>
        <w:t>Ensure review and approval records are complete.</w:t>
      </w:r>
    </w:p>
    <w:p>
      <w:pPr>
        <w:pStyle w:val="ListBullet"/>
      </w:pPr>
      <w:r>
        <w:t>Identify obsolete or duplicated content.</w:t>
      </w:r>
    </w:p>
    <w:p>
      <w:pPr>
        <w:pStyle w:val="ListBullet"/>
      </w:pPr>
      <w:r>
        <w:t>Record findings and corrective actions.</w:t>
      </w:r>
    </w:p>
    <w:p>
      <w:pPr>
        <w:pStyle w:val="Heading1"/>
      </w:pPr>
      <w:r>
        <w:t>Appendix Z – Documentation Compliance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Document control</w:t>
            </w:r>
          </w:p>
        </w:tc>
        <w:tc>
          <w:tcPr>
            <w:tcW w:type="dxa" w:w="2880"/>
          </w:tcPr>
          <w:p>
            <w:r>
              <w:t>Control page completed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Technical review</w:t>
            </w:r>
          </w:p>
        </w:tc>
        <w:tc>
          <w:tcPr>
            <w:tcW w:type="dxa" w:w="2880"/>
          </w:tcPr>
          <w:p>
            <w:r>
              <w:t>Review record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Repository baseline</w:t>
            </w:r>
          </w:p>
        </w:tc>
        <w:tc>
          <w:tcPr>
            <w:tcW w:type="dxa" w:w="2880"/>
          </w:tcPr>
          <w:p>
            <w:r>
              <w:t>Branch / commit recorded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Revision history</w:t>
            </w:r>
          </w:p>
        </w:tc>
        <w:tc>
          <w:tcPr>
            <w:tcW w:type="dxa" w:w="2880"/>
          </w:tcPr>
          <w:p>
            <w:r>
              <w:t>Change log maintained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Approval</w:t>
            </w:r>
          </w:p>
        </w:tc>
        <w:tc>
          <w:tcPr>
            <w:tcW w:type="dxa" w:w="2880"/>
          </w:tcPr>
          <w:p>
            <w:r>
              <w:t>Authorised approver recorded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Archive</w:t>
            </w:r>
          </w:p>
        </w:tc>
        <w:tc>
          <w:tcPr>
            <w:tcW w:type="dxa" w:w="2880"/>
          </w:tcPr>
          <w:p>
            <w:r>
              <w:t>Previous edition retained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</w:tbl>
    <w:p>
      <w:pPr>
        <w:pStyle w:val="Heading1"/>
      </w:pPr>
      <w:r>
        <w:t>Closing Guidance</w:t>
      </w:r>
    </w:p>
    <w:p>
      <w:r>
        <w:t>The Engineering Documentation Standard should be treated as a living publication. Every platform enhancement, architectural change and operational improvement should be reflected through controlled revisions so that the documentation remains an authoritative representation of the platform.</w:t>
      </w:r>
    </w:p>
    <w:p>
      <w:pPr>
        <w:pStyle w:val="Heading1"/>
      </w:pPr>
      <w:r>
        <w:t>Editorial Note</w:t>
      </w:r>
    </w:p>
    <w:p>
      <w:r>
        <w:t>Part 14 concludes the planned appendix series. The next publication activity is the assembly of a single consolidated Edition 2 manual incorporating all completed sections with unified formatting, numbering, document control and indexing.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