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15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AA – Engineering Configuration Management</w:t>
      </w:r>
    </w:p>
    <w:p>
      <w:r>
        <w:t>Configuration management ensures that engineering publications remain aligned with the software, infrastructure and operational baselines they describe.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Configuration Item</w:t>
            </w:r>
          </w:p>
        </w:tc>
        <w:tc>
          <w:tcPr>
            <w:tcW w:type="dxa" w:w="2880"/>
          </w:tcPr>
          <w:p>
            <w:r>
              <w:t>Control Mechanism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</w:tr>
      <w:tr>
        <w:tc>
          <w:tcPr>
            <w:tcW w:type="dxa" w:w="2880"/>
          </w:tcPr>
          <w:p>
            <w:r>
              <w:t>Repository Branch</w:t>
            </w:r>
          </w:p>
        </w:tc>
        <w:tc>
          <w:tcPr>
            <w:tcW w:type="dxa" w:w="2880"/>
          </w:tcPr>
          <w:p>
            <w:r>
              <w:t>Protected branch strategy</w:t>
            </w:r>
          </w:p>
        </w:tc>
        <w:tc>
          <w:tcPr>
            <w:tcW w:type="dxa" w:w="2880"/>
          </w:tcPr>
          <w:p>
            <w:r>
              <w:t>Branch review</w:t>
            </w:r>
          </w:p>
        </w:tc>
      </w:tr>
      <w:tr>
        <w:tc>
          <w:tcPr>
            <w:tcW w:type="dxa" w:w="2880"/>
          </w:tcPr>
          <w:p>
            <w:r>
              <w:t>Release Tag</w:t>
            </w:r>
          </w:p>
        </w:tc>
        <w:tc>
          <w:tcPr>
            <w:tcW w:type="dxa" w:w="2880"/>
          </w:tcPr>
          <w:p>
            <w:r>
              <w:t>Controlled tagging</w:t>
            </w:r>
          </w:p>
        </w:tc>
        <w:tc>
          <w:tcPr>
            <w:tcW w:type="dxa" w:w="2880"/>
          </w:tcPr>
          <w:p>
            <w:r>
              <w:t>Release validation</w:t>
            </w:r>
          </w:p>
        </w:tc>
      </w:tr>
      <w:tr>
        <w:tc>
          <w:tcPr>
            <w:tcW w:type="dxa" w:w="2880"/>
          </w:tcPr>
          <w:p>
            <w:r>
              <w:t>Engineering Standard</w:t>
            </w:r>
          </w:p>
        </w:tc>
        <w:tc>
          <w:tcPr>
            <w:tcW w:type="dxa" w:w="2880"/>
          </w:tcPr>
          <w:p>
            <w:r>
              <w:t>Versioned publication</w:t>
            </w:r>
          </w:p>
        </w:tc>
        <w:tc>
          <w:tcPr>
            <w:tcW w:type="dxa" w:w="2880"/>
          </w:tcPr>
          <w:p>
            <w:r>
              <w:t>Document audit</w:t>
            </w:r>
          </w:p>
        </w:tc>
      </w:tr>
      <w:tr>
        <w:tc>
          <w:tcPr>
            <w:tcW w:type="dxa" w:w="2880"/>
          </w:tcPr>
          <w:p>
            <w:r>
              <w:t>Operations Manual</w:t>
            </w:r>
          </w:p>
        </w:tc>
        <w:tc>
          <w:tcPr>
            <w:tcW w:type="dxa" w:w="2880"/>
          </w:tcPr>
          <w:p>
            <w:r>
              <w:t>Revision control</w:t>
            </w:r>
          </w:p>
        </w:tc>
        <w:tc>
          <w:tcPr>
            <w:tcW w:type="dxa" w:w="2880"/>
          </w:tcPr>
          <w:p>
            <w:r>
              <w:t>Operational review</w:t>
            </w:r>
          </w:p>
        </w:tc>
      </w:tr>
      <w:tr>
        <w:tc>
          <w:tcPr>
            <w:tcW w:type="dxa" w:w="2880"/>
          </w:tcPr>
          <w:p>
            <w:r>
              <w:t>Recovery Package</w:t>
            </w:r>
          </w:p>
        </w:tc>
        <w:tc>
          <w:tcPr>
            <w:tcW w:type="dxa" w:w="2880"/>
          </w:tcPr>
          <w:p>
            <w:r>
              <w:t>Baseline archive</w:t>
            </w:r>
          </w:p>
        </w:tc>
        <w:tc>
          <w:tcPr>
            <w:tcW w:type="dxa" w:w="2880"/>
          </w:tcPr>
          <w:p>
            <w:r>
              <w:t>Recovery exercise</w:t>
            </w:r>
          </w:p>
        </w:tc>
      </w:tr>
    </w:tbl>
    <w:p>
      <w:pPr>
        <w:pStyle w:val="Heading1"/>
      </w:pPr>
      <w:r>
        <w:t>Appendix AB – Publication Dependency Map</w:t>
      </w:r>
    </w:p>
    <w:p>
      <w:pPr>
        <w:pStyle w:val="ListBullet"/>
      </w:pPr>
      <w:r>
        <w:t>JD-EDS defines engineering publication standards.</w:t>
      </w:r>
    </w:p>
    <w:p>
      <w:pPr>
        <w:pStyle w:val="ListBullet"/>
      </w:pPr>
      <w:r>
        <w:t>JD-EOM applies those standards to operational procedures.</w:t>
      </w:r>
    </w:p>
    <w:p>
      <w:pPr>
        <w:pStyle w:val="ListBullet"/>
      </w:pPr>
      <w:r>
        <w:t>JD-ADR records significant architectural decisions.</w:t>
      </w:r>
    </w:p>
    <w:p>
      <w:pPr>
        <w:pStyle w:val="ListBullet"/>
      </w:pPr>
      <w:r>
        <w:t>JD-ERP captures recoverable engineering baselines.</w:t>
      </w:r>
    </w:p>
    <w:p>
      <w:pPr>
        <w:pStyle w:val="ListBullet"/>
      </w:pPr>
      <w:r>
        <w:t>JD-IVL records implementation and validation evidence.</w:t>
      </w:r>
    </w:p>
    <w:p>
      <w:pPr>
        <w:pStyle w:val="ListBullet"/>
      </w:pPr>
      <w:r>
        <w:t>JD-TRB provides structured troubleshooting guidance.</w:t>
      </w:r>
    </w:p>
    <w:p>
      <w:pPr>
        <w:pStyle w:val="Heading1"/>
      </w:pPr>
      <w:r>
        <w:t>Appendix AC – Continuous Documentation Principles</w:t>
      </w:r>
    </w:p>
    <w:p>
      <w:pPr>
        <w:pStyle w:val="ListBullet"/>
      </w:pPr>
      <w:r>
        <w:t>Documentation is maintained with the codebase.</w:t>
      </w:r>
    </w:p>
    <w:p>
      <w:pPr>
        <w:pStyle w:val="ListBullet"/>
      </w:pPr>
      <w:r>
        <w:t>Engineering decisions are captured when made.</w:t>
      </w:r>
    </w:p>
    <w:p>
      <w:pPr>
        <w:pStyle w:val="ListBullet"/>
      </w:pPr>
      <w:r>
        <w:t>Operational procedures are validated through use.</w:t>
      </w:r>
    </w:p>
    <w:p>
      <w:pPr>
        <w:pStyle w:val="ListBullet"/>
      </w:pPr>
      <w:r>
        <w:t>Superseded editions remain archived and traceable.</w:t>
      </w:r>
    </w:p>
    <w:p>
      <w:pPr>
        <w:pStyle w:val="ListBullet"/>
      </w:pPr>
      <w:r>
        <w:t>Publications are reviewed before every major release.</w:t>
      </w:r>
    </w:p>
    <w:p>
      <w:pPr>
        <w:pStyle w:val="Heading1"/>
      </w:pPr>
      <w:r>
        <w:t>Engineering Publication Outlook</w:t>
      </w:r>
    </w:p>
    <w:p>
      <w:r>
        <w:t>The documentation suite is intended to grow into a complete engineering knowledge system supporting architecture, development, validation, deployment, operations, recovery and long-term platform stewardship.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