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17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AG – Engineering Knowledge Transfer</w:t>
      </w:r>
    </w:p>
    <w:p>
      <w:r>
        <w:t>Knowledge transfer should be planned throughout the engineering lifecycle rather than deferred until project completion. Controlled publications provide the primary mechanism for preserving technical understanding across engineering teams.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Knowledge Asset</w:t>
            </w:r>
          </w:p>
        </w:tc>
        <w:tc>
          <w:tcPr>
            <w:tcW w:type="dxa" w:w="2880"/>
          </w:tcPr>
          <w:p>
            <w:r>
              <w:t>Primary Publication</w:t>
            </w:r>
          </w:p>
        </w:tc>
        <w:tc>
          <w:tcPr>
            <w:tcW w:type="dxa" w:w="2880"/>
          </w:tcPr>
          <w:p>
            <w:r>
              <w:t>Maintenance Trigger</w:t>
            </w:r>
          </w:p>
        </w:tc>
      </w:tr>
      <w:tr>
        <w:tc>
          <w:tcPr>
            <w:tcW w:type="dxa" w:w="2880"/>
          </w:tcPr>
          <w:p>
            <w:r>
              <w:t>Architecture rationale</w:t>
            </w:r>
          </w:p>
        </w:tc>
        <w:tc>
          <w:tcPr>
            <w:tcW w:type="dxa" w:w="2880"/>
          </w:tcPr>
          <w:p>
            <w:r>
              <w:t>JD-ADR</w:t>
            </w:r>
          </w:p>
        </w:tc>
        <w:tc>
          <w:tcPr>
            <w:tcW w:type="dxa" w:w="2880"/>
          </w:tcPr>
          <w:p>
            <w:r>
              <w:t>Design approval</w:t>
            </w:r>
          </w:p>
        </w:tc>
      </w:tr>
      <w:tr>
        <w:tc>
          <w:tcPr>
            <w:tcW w:type="dxa" w:w="2880"/>
          </w:tcPr>
          <w:p>
            <w:r>
              <w:t>Operational procedures</w:t>
            </w:r>
          </w:p>
        </w:tc>
        <w:tc>
          <w:tcPr>
            <w:tcW w:type="dxa" w:w="2880"/>
          </w:tcPr>
          <w:p>
            <w:r>
              <w:t>JD-EOM</w:t>
            </w:r>
          </w:p>
        </w:tc>
        <w:tc>
          <w:tcPr>
            <w:tcW w:type="dxa" w:w="2880"/>
          </w:tcPr>
          <w:p>
            <w:r>
              <w:t>Operational change</w:t>
            </w:r>
          </w:p>
        </w:tc>
      </w:tr>
      <w:tr>
        <w:tc>
          <w:tcPr>
            <w:tcW w:type="dxa" w:w="2880"/>
          </w:tcPr>
          <w:p>
            <w:r>
              <w:t>Recovery processes</w:t>
            </w:r>
          </w:p>
        </w:tc>
        <w:tc>
          <w:tcPr>
            <w:tcW w:type="dxa" w:w="2880"/>
          </w:tcPr>
          <w:p>
            <w:r>
              <w:t>JD-ERP</w:t>
            </w:r>
          </w:p>
        </w:tc>
        <w:tc>
          <w:tcPr>
            <w:tcW w:type="dxa" w:w="2880"/>
          </w:tcPr>
          <w:p>
            <w:r>
              <w:t>Recovery exercise</w:t>
            </w:r>
          </w:p>
        </w:tc>
      </w:tr>
      <w:tr>
        <w:tc>
          <w:tcPr>
            <w:tcW w:type="dxa" w:w="2880"/>
          </w:tcPr>
          <w:p>
            <w:r>
              <w:t>Validation evidence</w:t>
            </w:r>
          </w:p>
        </w:tc>
        <w:tc>
          <w:tcPr>
            <w:tcW w:type="dxa" w:w="2880"/>
          </w:tcPr>
          <w:p>
            <w:r>
              <w:t>JD-IVL</w:t>
            </w:r>
          </w:p>
        </w:tc>
        <w:tc>
          <w:tcPr>
            <w:tcW w:type="dxa" w:w="2880"/>
          </w:tcPr>
          <w:p>
            <w:r>
              <w:t>Test completion</w:t>
            </w:r>
          </w:p>
        </w:tc>
      </w:tr>
      <w:tr>
        <w:tc>
          <w:tcPr>
            <w:tcW w:type="dxa" w:w="2880"/>
          </w:tcPr>
          <w:p>
            <w:r>
              <w:t>Documentation standards</w:t>
            </w:r>
          </w:p>
        </w:tc>
        <w:tc>
          <w:tcPr>
            <w:tcW w:type="dxa" w:w="2880"/>
          </w:tcPr>
          <w:p>
            <w:r>
              <w:t>JD-EDS</w:t>
            </w:r>
          </w:p>
        </w:tc>
        <w:tc>
          <w:tcPr>
            <w:tcW w:type="dxa" w:w="2880"/>
          </w:tcPr>
          <w:p>
            <w:r>
              <w:t>Governance review</w:t>
            </w:r>
          </w:p>
        </w:tc>
      </w:tr>
    </w:tbl>
    <w:p>
      <w:pPr>
        <w:pStyle w:val="Heading1"/>
      </w:pPr>
      <w:r>
        <w:t>Appendix AH – Engineering Documentation Objectives</w:t>
      </w:r>
    </w:p>
    <w:p>
      <w:pPr>
        <w:pStyle w:val="ListBullet"/>
      </w:pPr>
      <w:r>
        <w:t>Reduce dependency on undocumented knowledge.</w:t>
      </w:r>
    </w:p>
    <w:p>
      <w:pPr>
        <w:pStyle w:val="ListBullet"/>
      </w:pPr>
      <w:r>
        <w:t>Improve engineering onboarding.</w:t>
      </w:r>
    </w:p>
    <w:p>
      <w:pPr>
        <w:pStyle w:val="ListBullet"/>
      </w:pPr>
      <w:r>
        <w:t>Support repeatable operational recovery.</w:t>
      </w:r>
    </w:p>
    <w:p>
      <w:pPr>
        <w:pStyle w:val="ListBullet"/>
      </w:pPr>
      <w:r>
        <w:t>Preserve architectural intent.</w:t>
      </w:r>
    </w:p>
    <w:p>
      <w:pPr>
        <w:pStyle w:val="ListBullet"/>
      </w:pPr>
      <w:r>
        <w:t>Provide auditable engineering evidence.</w:t>
      </w:r>
    </w:p>
    <w:p>
      <w:pPr>
        <w:pStyle w:val="ListBullet"/>
      </w:pPr>
      <w:r>
        <w:t>Promote consistent engineering practices.</w:t>
      </w:r>
    </w:p>
    <w:p>
      <w:pPr>
        <w:pStyle w:val="Heading1"/>
      </w:pPr>
      <w:r>
        <w:t>Appendix AI – Publication Maintenance Schedule</w:t>
      </w:r>
    </w:p>
    <w:p>
      <w:r>
        <w:t>Controlled publications should be reviewed after major releases, significant architectural changes, recovery activities, or at scheduled governance intervals. Review outcomes should be recorded in the publication revision history.</w:t>
      </w:r>
    </w:p>
    <w:p>
      <w:pPr>
        <w:pStyle w:val="Heading1"/>
      </w:pPr>
      <w:r>
        <w:t>Editorial Progress</w:t>
      </w:r>
    </w:p>
    <w:p>
      <w:r>
        <w:t>Part 17 expands the governance framework with knowledge transfer and maintenance guidance. Together with the preceding parts, it forms a comprehensive body of material ready for consolidation into the first controlled edition of JD-EDS-001.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