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18</w:t>
        <w:br/>
        <w:t>Timestamp: 26 July 2026, 08:30</w:t>
        <w:br/>
        <w:t>Status: Draft for Engineering Review</w:t>
      </w:r>
    </w:p>
    <w:p>
      <w:pPr>
        <w:pStyle w:val="Heading1"/>
      </w:pPr>
      <w:r>
        <w:t>Appendix AJ – Engineering Documentation Maturity Assessment</w:t>
      </w:r>
    </w:p>
    <w:p>
      <w:r>
        <w:t>Engineering organisations should periodically assess the maturity of their documentation practices to identify opportunities for improvement.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Assessment Question</w:t>
            </w:r>
          </w:p>
        </w:tc>
        <w:tc>
          <w:tcPr>
            <w:tcW w:type="dxa" w:w="2880"/>
          </w:tcPr>
          <w:p>
            <w:r>
              <w:t>Target State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Are standards consistently applied?</w:t>
            </w:r>
          </w:p>
        </w:tc>
        <w:tc>
          <w:tcPr>
            <w:tcW w:type="dxa" w:w="2880"/>
          </w:tcPr>
          <w:p>
            <w:r>
              <w:t>Controlled publications</w:t>
            </w:r>
          </w:p>
        </w:tc>
      </w:tr>
      <w:tr>
        <w:tc>
          <w:tcPr>
            <w:tcW w:type="dxa" w:w="2880"/>
          </w:tcPr>
          <w:p>
            <w:r>
              <w:t>Traceability</w:t>
            </w:r>
          </w:p>
        </w:tc>
        <w:tc>
          <w:tcPr>
            <w:tcW w:type="dxa" w:w="2880"/>
          </w:tcPr>
          <w:p>
            <w:r>
              <w:t>Can decisions be traced to implementation?</w:t>
            </w:r>
          </w:p>
        </w:tc>
        <w:tc>
          <w:tcPr>
            <w:tcW w:type="dxa" w:w="2880"/>
          </w:tcPr>
          <w:p>
            <w:r>
              <w:t>End-to-end traceability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Can new engineers become productive from documentation?</w:t>
            </w:r>
          </w:p>
        </w:tc>
        <w:tc>
          <w:tcPr>
            <w:tcW w:type="dxa" w:w="2880"/>
          </w:tcPr>
          <w:p>
            <w:r>
              <w:t>Self-sufficient onboarding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Are operational procedures current and tested?</w:t>
            </w:r>
          </w:p>
        </w:tc>
        <w:tc>
          <w:tcPr>
            <w:tcW w:type="dxa" w:w="2880"/>
          </w:tcPr>
          <w:p>
            <w:r>
              <w:t>Validated runbooks</w:t>
            </w:r>
          </w:p>
        </w:tc>
      </w:tr>
      <w:tr>
        <w:tc>
          <w:tcPr>
            <w:tcW w:type="dxa" w:w="2880"/>
          </w:tcPr>
          <w:p>
            <w:r>
              <w:t>Recovery</w:t>
            </w:r>
          </w:p>
        </w:tc>
        <w:tc>
          <w:tcPr>
            <w:tcW w:type="dxa" w:w="2880"/>
          </w:tcPr>
          <w:p>
            <w:r>
              <w:t>Can the platform be restored from documented guidance?</w:t>
            </w:r>
          </w:p>
        </w:tc>
        <w:tc>
          <w:tcPr>
            <w:tcW w:type="dxa" w:w="2880"/>
          </w:tcPr>
          <w:p>
            <w:r>
              <w:t>Verified recovery process</w:t>
            </w:r>
          </w:p>
        </w:tc>
      </w:tr>
    </w:tbl>
    <w:p>
      <w:pPr>
        <w:pStyle w:val="Heading1"/>
      </w:pPr>
      <w:r>
        <w:t>Appendix AK – Engineering Documentation Principles</w:t>
      </w:r>
    </w:p>
    <w:p>
      <w:pPr>
        <w:pStyle w:val="ListBullet"/>
      </w:pPr>
      <w:r>
        <w:t>Documentation should explain why as well as what.</w:t>
      </w:r>
    </w:p>
    <w:p>
      <w:pPr>
        <w:pStyle w:val="ListBullet"/>
      </w:pPr>
      <w:r>
        <w:t>Architecture should remain distinguishable from implementation.</w:t>
      </w:r>
    </w:p>
    <w:p>
      <w:pPr>
        <w:pStyle w:val="ListBullet"/>
      </w:pPr>
      <w:r>
        <w:t>Operational guidance should be validated through practical use.</w:t>
      </w:r>
    </w:p>
    <w:p>
      <w:pPr>
        <w:pStyle w:val="ListBullet"/>
      </w:pPr>
      <w:r>
        <w:t>Every controlled publication should identify its owner.</w:t>
      </w:r>
    </w:p>
    <w:p>
      <w:pPr>
        <w:pStyle w:val="ListBullet"/>
      </w:pPr>
      <w:r>
        <w:t>Documentation debt should be managed alongside technical debt.</w:t>
      </w:r>
    </w:p>
    <w:p>
      <w:pPr>
        <w:pStyle w:val="ListBullet"/>
      </w:pPr>
      <w:r>
        <w:t>Historical editions should remain available for reference.</w:t>
      </w:r>
    </w:p>
    <w:p>
      <w:pPr>
        <w:pStyle w:val="Heading1"/>
      </w:pPr>
      <w:r>
        <w:t>Appendix AL – Engineering Library Vision</w:t>
      </w:r>
    </w:p>
    <w:p>
      <w:r>
        <w:t>The long-term objective is to establish an engineering library that supports the complete lifecycle of the platform, including planning, architecture, implementation, validation, deployment, operations, maintenance, recovery and future evolution through a coherent set of controlled publications.</w:t>
      </w:r>
    </w:p>
    <w:p>
      <w:pPr>
        <w:pStyle w:val="Heading1"/>
      </w:pPr>
      <w:r>
        <w:t>Edition 2 Draft Progress</w:t>
      </w:r>
    </w:p>
    <w:p>
      <w:r>
        <w:t>Part 18 extends the framework with documentation maturity assessment and engineering library objectives. The complete draft is now suitable for editorial consolidation into a unified engineering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