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19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AM – Engineering Publication Governance Board</w:t>
      </w:r>
    </w:p>
    <w:p>
      <w:r>
        <w:t>A governance board provides oversight for controlled engineering publications, ensuring that standards remain consistent, technically accurate and aligned with the strategic direction of the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Typical Cadence</w:t>
            </w:r>
          </w:p>
        </w:tc>
      </w:tr>
      <w:tr>
        <w:tc>
          <w:tcPr>
            <w:tcW w:type="dxa" w:w="2880"/>
          </w:tcPr>
          <w:p>
            <w:r>
              <w:t>Standards Review</w:t>
            </w:r>
          </w:p>
        </w:tc>
        <w:tc>
          <w:tcPr>
            <w:tcW w:type="dxa" w:w="2880"/>
          </w:tcPr>
          <w:p>
            <w:r>
              <w:t>Assess engineering standards for relevance and completeness.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Architecture Review</w:t>
            </w:r>
          </w:p>
        </w:tc>
        <w:tc>
          <w:tcPr>
            <w:tcW w:type="dxa" w:w="2880"/>
          </w:tcPr>
          <w:p>
            <w:r>
              <w:t>Confirm publications reflect approved architecture.</w:t>
            </w:r>
          </w:p>
        </w:tc>
        <w:tc>
          <w:tcPr>
            <w:tcW w:type="dxa" w:w="2880"/>
          </w:tcPr>
          <w:p>
            <w:r>
              <w:t>Per major release</w:t>
            </w:r>
          </w:p>
        </w:tc>
      </w:tr>
      <w:tr>
        <w:tc>
          <w:tcPr>
            <w:tcW w:type="dxa" w:w="2880"/>
          </w:tcPr>
          <w:p>
            <w:r>
              <w:t>Publication Audit</w:t>
            </w:r>
          </w:p>
        </w:tc>
        <w:tc>
          <w:tcPr>
            <w:tcW w:type="dxa" w:w="2880"/>
          </w:tcPr>
          <w:p>
            <w:r>
              <w:t>Verify controlled document compliance.</w:t>
            </w:r>
          </w:p>
        </w:tc>
        <w:tc>
          <w:tcPr>
            <w:tcW w:type="dxa" w:w="2880"/>
          </w:tcPr>
          <w:p>
            <w:r>
              <w:t>Biannual</w:t>
            </w:r>
          </w:p>
        </w:tc>
      </w:tr>
      <w:tr>
        <w:tc>
          <w:tcPr>
            <w:tcW w:type="dxa" w:w="2880"/>
          </w:tcPr>
          <w:p>
            <w:r>
              <w:t>Improvement Planning</w:t>
            </w:r>
          </w:p>
        </w:tc>
        <w:tc>
          <w:tcPr>
            <w:tcW w:type="dxa" w:w="2880"/>
          </w:tcPr>
          <w:p>
            <w:r>
              <w:t>Prioritise documentation enhancements.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pPr>
        <w:pStyle w:val="Heading1"/>
      </w:pPr>
      <w:r>
        <w:t>Appendix AN – Engineering Documentation KPIs</w:t>
      </w:r>
    </w:p>
    <w:p>
      <w:pPr>
        <w:pStyle w:val="ListBullet"/>
      </w:pPr>
      <w:r>
        <w:t>Percentage of controlled publications reviewed on schedule.</w:t>
      </w:r>
    </w:p>
    <w:p>
      <w:pPr>
        <w:pStyle w:val="ListBullet"/>
      </w:pPr>
      <w:r>
        <w:t>Average time between implementation and documentation update.</w:t>
      </w:r>
    </w:p>
    <w:p>
      <w:pPr>
        <w:pStyle w:val="ListBullet"/>
      </w:pPr>
      <w:r>
        <w:t>Coverage of architecture by controlled publications.</w:t>
      </w:r>
    </w:p>
    <w:p>
      <w:pPr>
        <w:pStyle w:val="ListBullet"/>
      </w:pPr>
      <w:r>
        <w:t>Recovery procedures validated within the review period.</w:t>
      </w:r>
    </w:p>
    <w:p>
      <w:pPr>
        <w:pStyle w:val="ListBullet"/>
      </w:pPr>
      <w:r>
        <w:t>Outstanding documentation actions from engineering reviews.</w:t>
      </w:r>
    </w:p>
    <w:p>
      <w:pPr>
        <w:pStyle w:val="Heading1"/>
      </w:pPr>
      <w:r>
        <w:t>Appendix AO – Continuous Publication Improvement Cycle</w:t>
      </w:r>
    </w:p>
    <w:p>
      <w:r>
        <w:t>Engineering publications should follow a recurring cycle of authoring, review, validation, publication, operational feedback and revision. Lessons learned from projects, incidents and recovery activities should be incorporated into future editions.</w:t>
      </w:r>
    </w:p>
    <w:p>
      <w:pPr>
        <w:pStyle w:val="Heading1"/>
      </w:pPr>
      <w:r>
        <w:t>Edition 2 Status Update</w:t>
      </w:r>
    </w:p>
    <w:p>
      <w:r>
        <w:t>Part 19 extends the governance model with publication oversight and measurable performance indicators. These additions strengthen the framework that will be assembled into the consolidated Edition 2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