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20</w:t>
        <w:br/>
        <w:t>Timestamp: 26 July 2026, 08:30</w:t>
        <w:br/>
        <w:t>Status: Draft for Engineering Review</w:t>
      </w:r>
    </w:p>
    <w:p>
      <w:pPr>
        <w:pStyle w:val="Heading1"/>
      </w:pPr>
      <w:r>
        <w:t>Appendix AP – Documentation Architecture Patterns</w:t>
      </w:r>
    </w:p>
    <w:p>
      <w:r>
        <w:t>Controlled publications should follow consistent architectural patterns so that engineers can navigate information predictably across the documentation library.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Pattern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Defines stable facts such as interfaces, standards and schemas.</w:t>
            </w:r>
          </w:p>
        </w:tc>
      </w:tr>
      <w:tr>
        <w:tc>
          <w:tcPr>
            <w:tcW w:type="dxa" w:w="4320"/>
          </w:tcPr>
          <w:p>
            <w:r>
              <w:t>Procedure</w:t>
            </w:r>
          </w:p>
        </w:tc>
        <w:tc>
          <w:tcPr>
            <w:tcW w:type="dxa" w:w="4320"/>
          </w:tcPr>
          <w:p>
            <w:r>
              <w:t>Describes repeatable operational or engineering activities.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Captures rationale for significant technical choices.</w:t>
            </w:r>
          </w:p>
        </w:tc>
      </w:tr>
      <w:tr>
        <w:tc>
          <w:tcPr>
            <w:tcW w:type="dxa" w:w="4320"/>
          </w:tcPr>
          <w:p>
            <w:r>
              <w:t>Recovery</w:t>
            </w:r>
          </w:p>
        </w:tc>
        <w:tc>
          <w:tcPr>
            <w:tcW w:type="dxa" w:w="4320"/>
          </w:tcPr>
          <w:p>
            <w:r>
              <w:t>Documents restoration procedures for services and platforms.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Records verification evidence and expected outcomes.</w:t>
            </w:r>
          </w:p>
        </w:tc>
      </w:tr>
    </w:tbl>
    <w:p>
      <w:pPr>
        <w:pStyle w:val="Heading1"/>
      </w:pPr>
      <w:r>
        <w:t>Appendix AQ – Publication Naming Convention</w:t>
      </w:r>
    </w:p>
    <w:p>
      <w:pPr>
        <w:pStyle w:val="ListBullet"/>
      </w:pPr>
      <w:r>
        <w:t>Use a unique document identifier (for example, JD-EDS-001).</w:t>
      </w:r>
    </w:p>
    <w:p>
      <w:pPr>
        <w:pStyle w:val="ListBullet"/>
      </w:pPr>
      <w:r>
        <w:t>Assign semantic versions to controlled editions.</w:t>
      </w:r>
    </w:p>
    <w:p>
      <w:pPr>
        <w:pStyle w:val="ListBullet"/>
      </w:pPr>
      <w:r>
        <w:t>Include publication status (Draft, Review, Approved, Superseded).</w:t>
      </w:r>
    </w:p>
    <w:p>
      <w:pPr>
        <w:pStyle w:val="ListBullet"/>
      </w:pPr>
      <w:r>
        <w:t>Record publication date and repository baseline.</w:t>
      </w:r>
    </w:p>
    <w:p>
      <w:pPr>
        <w:pStyle w:val="ListBullet"/>
      </w:pPr>
      <w:r>
        <w:t>Retain previous editions in an archive.</w:t>
      </w:r>
    </w:p>
    <w:p>
      <w:pPr>
        <w:pStyle w:val="Heading1"/>
      </w:pPr>
      <w:r>
        <w:t>Appendix AR – Engineering Documentation Roadmap</w:t>
      </w:r>
    </w:p>
    <w:p>
      <w:r>
        <w:t>Following publication of JD-EDS-001, subsequent controlled publications should cover operations, architecture, deployment, recovery, validation, troubleshooting, release management and engineering templates, forming a complete documentation suite.</w:t>
      </w:r>
    </w:p>
    <w:p>
      <w:pPr>
        <w:pStyle w:val="Heading1"/>
      </w:pPr>
      <w:r>
        <w:t>Edition 2 Progress Summary</w:t>
      </w:r>
    </w:p>
    <w:p>
      <w:r>
        <w:t>Part 20 expands the standard with documentation architecture patterns, publication naming guidance and roadmap planning. These additions further strengthen the foundation for the consolidated Edition 2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