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21</w:t>
        <w:br/>
        <w:t>Timestamp: 26 July 2026, 08:30</w:t>
        <w:br/>
        <w:t>Status: Draft for Engineering Review</w:t>
      </w:r>
    </w:p>
    <w:p>
      <w:pPr>
        <w:pStyle w:val="Heading1"/>
      </w:pPr>
      <w:r>
        <w:t>Appendix AS – Engineering Documentation Classification</w:t>
      </w:r>
    </w:p>
    <w:p>
      <w:r>
        <w:t>Engineering publications should be classified according to their purpose so that readers can quickly determine the authority and intended use of each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Primary Audience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All engineers</w:t>
            </w:r>
          </w:p>
        </w:tc>
        <w:tc>
          <w:tcPr>
            <w:tcW w:type="dxa" w:w="2880"/>
          </w:tcPr>
          <w:p>
            <w:r>
              <w:t>JD-EDS</w:t>
            </w:r>
          </w:p>
        </w:tc>
      </w:tr>
      <w:tr>
        <w:tc>
          <w:tcPr>
            <w:tcW w:type="dxa" w:w="2880"/>
          </w:tcPr>
          <w:p>
            <w:r>
              <w:t>Operations Manual</w:t>
            </w:r>
          </w:p>
        </w:tc>
        <w:tc>
          <w:tcPr>
            <w:tcW w:type="dxa" w:w="2880"/>
          </w:tcPr>
          <w:p>
            <w:r>
              <w:t>Operations &amp; Support</w:t>
            </w:r>
          </w:p>
        </w:tc>
        <w:tc>
          <w:tcPr>
            <w:tcW w:type="dxa" w:w="2880"/>
          </w:tcPr>
          <w:p>
            <w:r>
              <w:t>JD-EOM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Architects &amp; Developers</w:t>
            </w:r>
          </w:p>
        </w:tc>
        <w:tc>
          <w:tcPr>
            <w:tcW w:type="dxa" w:w="2880"/>
          </w:tcPr>
          <w:p>
            <w:r>
              <w:t>JD-ADR / Architecture Guides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Engineering &amp; Operations</w:t>
            </w:r>
          </w:p>
        </w:tc>
        <w:tc>
          <w:tcPr>
            <w:tcW w:type="dxa" w:w="2880"/>
          </w:tcPr>
          <w:p>
            <w:r>
              <w:t>JD-ERP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Engineering &amp; QA</w:t>
            </w:r>
          </w:p>
        </w:tc>
        <w:tc>
          <w:tcPr>
            <w:tcW w:type="dxa" w:w="2880"/>
          </w:tcPr>
          <w:p>
            <w:r>
              <w:t>JD-IVL / Validation Reports</w:t>
            </w:r>
          </w:p>
        </w:tc>
      </w:tr>
    </w:tbl>
    <w:p>
      <w:pPr>
        <w:pStyle w:val="Heading1"/>
      </w:pPr>
      <w:r>
        <w:t>Appendix AT – Publication Retirement Policy</w:t>
      </w:r>
    </w:p>
    <w:p>
      <w:pPr>
        <w:pStyle w:val="ListBullet"/>
      </w:pPr>
      <w:r>
        <w:t>Superseded editions remain archived.</w:t>
      </w:r>
    </w:p>
    <w:p>
      <w:pPr>
        <w:pStyle w:val="ListBullet"/>
      </w:pPr>
      <w:r>
        <w:t>Replacement publications reference the superseded edition.</w:t>
      </w:r>
    </w:p>
    <w:p>
      <w:pPr>
        <w:pStyle w:val="ListBullet"/>
      </w:pPr>
      <w:r>
        <w:t>Retirement decisions are recorded in the revision history.</w:t>
      </w:r>
    </w:p>
    <w:p>
      <w:pPr>
        <w:pStyle w:val="ListBullet"/>
      </w:pPr>
      <w:r>
        <w:t>Historical publications remain searchable for audit purposes.</w:t>
      </w:r>
    </w:p>
    <w:p>
      <w:pPr>
        <w:pStyle w:val="ListBullet"/>
      </w:pPr>
      <w:r>
        <w:t>Archived publications are marked to prevent operational use.</w:t>
      </w:r>
    </w:p>
    <w:p>
      <w:pPr>
        <w:pStyle w:val="Heading1"/>
      </w:pPr>
      <w:r>
        <w:t>Appendix AU – Engineering Documentation Objectives for Future Editions</w:t>
      </w:r>
    </w:p>
    <w:p>
      <w:r>
        <w:t>Future editions should introduce richer architectural examples, publication templates, automated documentation validation, repository integration, document quality dashboards and engineering workflow guidance while maintaining backward traceability with earlier controlled editions.</w:t>
      </w:r>
    </w:p>
    <w:p>
      <w:pPr>
        <w:pStyle w:val="Heading1"/>
      </w:pPr>
      <w:r>
        <w:t>Edition 2 Editorial Summary</w:t>
      </w:r>
    </w:p>
    <w:p>
      <w:r>
        <w:t>Part 21 extends the documentation governance framework with publication classification and retirement guidance. Together with the preceding material, it provides additional structure for the forthcoming consolidated Edition 2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