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br/>
        <w:t>Engineering Documentation Standard</w:t>
      </w:r>
    </w:p>
    <w:p>
      <w:r>
        <w:t>Edition 2 – Part 22</w:t>
        <w:br/>
        <w:t>Timestamp: 26 July 2026, 08:30</w:t>
        <w:br/>
        <w:t>Status: Draft for Engineering Review</w:t>
      </w:r>
    </w:p>
    <w:p>
      <w:pPr>
        <w:pStyle w:val="Heading1"/>
      </w:pPr>
      <w:r>
        <w:t>Appendix AV – Engineering Documentation Ownership Model</w:t>
      </w:r>
    </w:p>
    <w:p>
      <w:r>
        <w:t>Each controlled publication should have a clearly identified owner responsible for maintaining technical accuracy, coordinating reviews and ensuring revisions remain aligned with the engineering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Publication Type</w:t>
            </w:r>
          </w:p>
        </w:tc>
        <w:tc>
          <w:tcPr>
            <w:tcW w:type="dxa" w:w="2160"/>
          </w:tcPr>
          <w:p>
            <w:r>
              <w:t>Primary Owner</w:t>
            </w:r>
          </w:p>
        </w:tc>
        <w:tc>
          <w:tcPr>
            <w:tcW w:type="dxa" w:w="2160"/>
          </w:tcPr>
          <w:p>
            <w:r>
              <w:t>Supporting Reviewers</w:t>
            </w:r>
          </w:p>
        </w:tc>
        <w:tc>
          <w:tcPr>
            <w:tcW w:type="dxa" w:w="2160"/>
          </w:tcPr>
          <w:p>
            <w:r>
              <w:t>Minimum Review Frequency</w:t>
            </w:r>
          </w:p>
        </w:tc>
      </w:tr>
      <w:tr>
        <w:tc>
          <w:tcPr>
            <w:tcW w:type="dxa" w:w="2160"/>
          </w:tcPr>
          <w:p>
            <w:r>
              <w:t>Engineering Standard</w:t>
            </w:r>
          </w:p>
        </w:tc>
        <w:tc>
          <w:tcPr>
            <w:tcW w:type="dxa" w:w="2160"/>
          </w:tcPr>
          <w:p>
            <w:r>
              <w:t>Engineering Lead</w:t>
            </w:r>
          </w:p>
        </w:tc>
        <w:tc>
          <w:tcPr>
            <w:tcW w:type="dxa" w:w="2160"/>
          </w:tcPr>
          <w:p>
            <w:r>
              <w:t>Architecture Board</w:t>
            </w:r>
          </w:p>
        </w:tc>
        <w:tc>
          <w:tcPr>
            <w:tcW w:type="dxa" w:w="2160"/>
          </w:tcPr>
          <w:p>
            <w:r>
              <w:t>Annual</w:t>
            </w:r>
          </w:p>
        </w:tc>
      </w:tr>
      <w:tr>
        <w:tc>
          <w:tcPr>
            <w:tcW w:type="dxa" w:w="2160"/>
          </w:tcPr>
          <w:p>
            <w:r>
              <w:t>Operations Manual</w:t>
            </w:r>
          </w:p>
        </w:tc>
        <w:tc>
          <w:tcPr>
            <w:tcW w:type="dxa" w:w="2160"/>
          </w:tcPr>
          <w:p>
            <w:r>
              <w:t>Operations Lead</w:t>
            </w:r>
          </w:p>
        </w:tc>
        <w:tc>
          <w:tcPr>
            <w:tcW w:type="dxa" w:w="2160"/>
          </w:tcPr>
          <w:p>
            <w:r>
              <w:t>Service Owners</w:t>
            </w:r>
          </w:p>
        </w:tc>
        <w:tc>
          <w:tcPr>
            <w:tcW w:type="dxa" w:w="2160"/>
          </w:tcPr>
          <w:p>
            <w:r>
              <w:t>Quarterly</w:t>
            </w:r>
          </w:p>
        </w:tc>
      </w:tr>
      <w:tr>
        <w:tc>
          <w:tcPr>
            <w:tcW w:type="dxa" w:w="2160"/>
          </w:tcPr>
          <w:p>
            <w:r>
              <w:t>Architecture Guide</w:t>
            </w:r>
          </w:p>
        </w:tc>
        <w:tc>
          <w:tcPr>
            <w:tcW w:type="dxa" w:w="2160"/>
          </w:tcPr>
          <w:p>
            <w:r>
              <w:t>Solution Architect</w:t>
            </w:r>
          </w:p>
        </w:tc>
        <w:tc>
          <w:tcPr>
            <w:tcW w:type="dxa" w:w="2160"/>
          </w:tcPr>
          <w:p>
            <w:r>
              <w:t>Module Owners</w:t>
            </w:r>
          </w:p>
        </w:tc>
        <w:tc>
          <w:tcPr>
            <w:tcW w:type="dxa" w:w="2160"/>
          </w:tcPr>
          <w:p>
            <w:r>
              <w:t>Per major change</w:t>
            </w:r>
          </w:p>
        </w:tc>
      </w:tr>
      <w:tr>
        <w:tc>
          <w:tcPr>
            <w:tcW w:type="dxa" w:w="2160"/>
          </w:tcPr>
          <w:p>
            <w:r>
              <w:t>Recovery Package</w:t>
            </w:r>
          </w:p>
        </w:tc>
        <w:tc>
          <w:tcPr>
            <w:tcW w:type="dxa" w:w="2160"/>
          </w:tcPr>
          <w:p>
            <w:r>
              <w:t>Platform Owner</w:t>
            </w:r>
          </w:p>
        </w:tc>
        <w:tc>
          <w:tcPr>
            <w:tcW w:type="dxa" w:w="2160"/>
          </w:tcPr>
          <w:p>
            <w:r>
              <w:t>Operations Team</w:t>
            </w:r>
          </w:p>
        </w:tc>
        <w:tc>
          <w:tcPr>
            <w:tcW w:type="dxa" w:w="2160"/>
          </w:tcPr>
          <w:p>
            <w:r>
              <w:t>After each exercise</w:t>
            </w:r>
          </w:p>
        </w:tc>
      </w:tr>
      <w:tr>
        <w:tc>
          <w:tcPr>
            <w:tcW w:type="dxa" w:w="2160"/>
          </w:tcPr>
          <w:p>
            <w:r>
              <w:t>Validation Report</w:t>
            </w:r>
          </w:p>
        </w:tc>
        <w:tc>
          <w:tcPr>
            <w:tcW w:type="dxa" w:w="2160"/>
          </w:tcPr>
          <w:p>
            <w:r>
              <w:t>QA Lead</w:t>
            </w:r>
          </w:p>
        </w:tc>
        <w:tc>
          <w:tcPr>
            <w:tcW w:type="dxa" w:w="2160"/>
          </w:tcPr>
          <w:p>
            <w:r>
              <w:t>Engineering Team</w:t>
            </w:r>
          </w:p>
        </w:tc>
        <w:tc>
          <w:tcPr>
            <w:tcW w:type="dxa" w:w="2160"/>
          </w:tcPr>
          <w:p>
            <w:r>
              <w:t>Per release</w:t>
            </w:r>
          </w:p>
        </w:tc>
      </w:tr>
    </w:tbl>
    <w:p>
      <w:pPr>
        <w:pStyle w:val="Heading1"/>
      </w:pPr>
      <w:r>
        <w:t>Appendix AW – Documentation Health Indicators</w:t>
      </w:r>
    </w:p>
    <w:p>
      <w:pPr>
        <w:pStyle w:val="ListBullet"/>
      </w:pPr>
      <w:r>
        <w:t>All controlled publications have an assigned owner.</w:t>
      </w:r>
    </w:p>
    <w:p>
      <w:pPr>
        <w:pStyle w:val="ListBullet"/>
      </w:pPr>
      <w:r>
        <w:t>No publication exceeds its scheduled review date.</w:t>
      </w:r>
    </w:p>
    <w:p>
      <w:pPr>
        <w:pStyle w:val="ListBullet"/>
      </w:pPr>
      <w:r>
        <w:t>Repository baselines are recorded for every edition.</w:t>
      </w:r>
    </w:p>
    <w:p>
      <w:pPr>
        <w:pStyle w:val="ListBullet"/>
      </w:pPr>
      <w:r>
        <w:t>Architecture decisions are linked to implementation guidance.</w:t>
      </w:r>
    </w:p>
    <w:p>
      <w:pPr>
        <w:pStyle w:val="ListBullet"/>
      </w:pPr>
      <w:r>
        <w:t>Operational procedures have been exercised within the review period.</w:t>
      </w:r>
    </w:p>
    <w:p>
      <w:pPr>
        <w:pStyle w:val="ListBullet"/>
      </w:pPr>
      <w:r>
        <w:t>Recovery documentation has been validated against the current platform.</w:t>
      </w:r>
    </w:p>
    <w:p>
      <w:pPr>
        <w:pStyle w:val="Heading1"/>
      </w:pPr>
      <w:r>
        <w:t>Appendix AX – Long-Term Engineering Stewardship</w:t>
      </w:r>
    </w:p>
    <w:p>
      <w:r>
        <w:t>The engineering documentation library should evolve alongside the platform. Successive engineering teams should be able to understand previous decisions, maintain operational continuity and extend the platform without relying on unrecorded institutional knowledge.</w:t>
      </w:r>
    </w:p>
    <w:p>
      <w:pPr>
        <w:pStyle w:val="Heading1"/>
      </w:pPr>
      <w:r>
        <w:t>Edition 2 Development Note</w:t>
      </w:r>
    </w:p>
    <w:p>
      <w:r>
        <w:t>Part 22 strengthens publication ownership and documentation health guidance. These governance elements are intended to be incorporated into the consolidated Edition 2 release of JD-EDS-001.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