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JD-EDS-001</w:t>
        <w:br/>
        <w:t>Engineering Documentation Standard</w:t>
      </w:r>
    </w:p>
    <w:p>
      <w:r>
        <w:t>Edition 2 – Part 23</w:t>
        <w:br/>
        <w:t>Timestamp: 26 July 2026, 08:30</w:t>
        <w:br/>
        <w:t>Status: Draft for Engineering Review</w:t>
      </w:r>
    </w:p>
    <w:p>
      <w:pPr>
        <w:pStyle w:val="Heading1"/>
      </w:pPr>
      <w:r>
        <w:t>Appendix AY – Engineering Documentation Integration</w:t>
      </w:r>
    </w:p>
    <w:p>
      <w:r>
        <w:t>Engineering publications should integrate with the software development lifecycle. Documentation updates should accompany significant implementation, operational, architectural and recovery changes so that published guidance remains aligned with the engineering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Lifecycle Activity</w:t>
            </w:r>
          </w:p>
        </w:tc>
        <w:tc>
          <w:tcPr>
            <w:tcW w:type="dxa" w:w="2160"/>
          </w:tcPr>
          <w:p>
            <w:r>
              <w:t>Documentation Action</w:t>
            </w:r>
          </w:p>
        </w:tc>
        <w:tc>
          <w:tcPr>
            <w:tcW w:type="dxa" w:w="2160"/>
          </w:tcPr>
          <w:p>
            <w:r>
              <w:t>Primary Publication</w:t>
            </w:r>
          </w:p>
        </w:tc>
        <w:tc>
          <w:tcPr>
            <w:tcW w:type="dxa" w:w="2160"/>
          </w:tcPr>
          <w:p>
            <w:r>
              <w:t>Verification</w:t>
            </w:r>
          </w:p>
        </w:tc>
      </w:tr>
      <w:tr>
        <w:tc>
          <w:tcPr>
            <w:tcW w:type="dxa" w:w="2160"/>
          </w:tcPr>
          <w:p>
            <w:r>
              <w:t>Requirements</w:t>
            </w:r>
          </w:p>
        </w:tc>
        <w:tc>
          <w:tcPr>
            <w:tcW w:type="dxa" w:w="2160"/>
          </w:tcPr>
          <w:p>
            <w:r>
              <w:t>Record scope and objectives</w:t>
            </w:r>
          </w:p>
        </w:tc>
        <w:tc>
          <w:tcPr>
            <w:tcW w:type="dxa" w:w="2160"/>
          </w:tcPr>
          <w:p>
            <w:r>
              <w:t>JD-WP</w:t>
            </w:r>
          </w:p>
        </w:tc>
        <w:tc>
          <w:tcPr>
            <w:tcW w:type="dxa" w:w="2160"/>
          </w:tcPr>
          <w:p>
            <w:r>
              <w:t>Peer review</w:t>
            </w:r>
          </w:p>
        </w:tc>
      </w:tr>
      <w:tr>
        <w:tc>
          <w:tcPr>
            <w:tcW w:type="dxa" w:w="2160"/>
          </w:tcPr>
          <w:p>
            <w:r>
              <w:t>Architecture</w:t>
            </w:r>
          </w:p>
        </w:tc>
        <w:tc>
          <w:tcPr>
            <w:tcW w:type="dxa" w:w="2160"/>
          </w:tcPr>
          <w:p>
            <w:r>
              <w:t>Capture design decisions</w:t>
            </w:r>
          </w:p>
        </w:tc>
        <w:tc>
          <w:tcPr>
            <w:tcW w:type="dxa" w:w="2160"/>
          </w:tcPr>
          <w:p>
            <w:r>
              <w:t>JD-ADR</w:t>
            </w:r>
          </w:p>
        </w:tc>
        <w:tc>
          <w:tcPr>
            <w:tcW w:type="dxa" w:w="2160"/>
          </w:tcPr>
          <w:p>
            <w:r>
              <w:t>Architecture review</w:t>
            </w:r>
          </w:p>
        </w:tc>
      </w:tr>
      <w:tr>
        <w:tc>
          <w:tcPr>
            <w:tcW w:type="dxa" w:w="2160"/>
          </w:tcPr>
          <w:p>
            <w:r>
              <w:t>Implementation</w:t>
            </w:r>
          </w:p>
        </w:tc>
        <w:tc>
          <w:tcPr>
            <w:tcW w:type="dxa" w:w="2160"/>
          </w:tcPr>
          <w:p>
            <w:r>
              <w:t>Update technical guidance</w:t>
            </w:r>
          </w:p>
        </w:tc>
        <w:tc>
          <w:tcPr>
            <w:tcW w:type="dxa" w:w="2160"/>
          </w:tcPr>
          <w:p>
            <w:r>
              <w:t>JD-EOM</w:t>
            </w:r>
          </w:p>
        </w:tc>
        <w:tc>
          <w:tcPr>
            <w:tcW w:type="dxa" w:w="2160"/>
          </w:tcPr>
          <w:p>
            <w:r>
              <w:t>Engineering review</w:t>
            </w:r>
          </w:p>
        </w:tc>
      </w:tr>
      <w:tr>
        <w:tc>
          <w:tcPr>
            <w:tcW w:type="dxa" w:w="2160"/>
          </w:tcPr>
          <w:p>
            <w:r>
              <w:t>Validation</w:t>
            </w:r>
          </w:p>
        </w:tc>
        <w:tc>
          <w:tcPr>
            <w:tcW w:type="dxa" w:w="2160"/>
          </w:tcPr>
          <w:p>
            <w:r>
              <w:t>Record evidence</w:t>
            </w:r>
          </w:p>
        </w:tc>
        <w:tc>
          <w:tcPr>
            <w:tcW w:type="dxa" w:w="2160"/>
          </w:tcPr>
          <w:p>
            <w:r>
              <w:t>JD-IVL</w:t>
            </w:r>
          </w:p>
        </w:tc>
        <w:tc>
          <w:tcPr>
            <w:tcW w:type="dxa" w:w="2160"/>
          </w:tcPr>
          <w:p>
            <w:r>
              <w:t>Test sign-off</w:t>
            </w:r>
          </w:p>
        </w:tc>
      </w:tr>
      <w:tr>
        <w:tc>
          <w:tcPr>
            <w:tcW w:type="dxa" w:w="2160"/>
          </w:tcPr>
          <w:p>
            <w:r>
              <w:t>Release</w:t>
            </w:r>
          </w:p>
        </w:tc>
        <w:tc>
          <w:tcPr>
            <w:tcW w:type="dxa" w:w="2160"/>
          </w:tcPr>
          <w:p>
            <w:r>
              <w:t>Publish release documentation</w:t>
            </w:r>
          </w:p>
        </w:tc>
        <w:tc>
          <w:tcPr>
            <w:tcW w:type="dxa" w:w="2160"/>
          </w:tcPr>
          <w:p>
            <w:r>
              <w:t>JD-RN</w:t>
            </w:r>
          </w:p>
        </w:tc>
        <w:tc>
          <w:tcPr>
            <w:tcW w:type="dxa" w:w="2160"/>
          </w:tcPr>
          <w:p>
            <w:r>
              <w:t>Release approval</w:t>
            </w:r>
          </w:p>
        </w:tc>
      </w:tr>
      <w:tr>
        <w:tc>
          <w:tcPr>
            <w:tcW w:type="dxa" w:w="2160"/>
          </w:tcPr>
          <w:p>
            <w:r>
              <w:t>Recovery</w:t>
            </w:r>
          </w:p>
        </w:tc>
        <w:tc>
          <w:tcPr>
            <w:tcW w:type="dxa" w:w="2160"/>
          </w:tcPr>
          <w:p>
            <w:r>
              <w:t>Revise recovery guidance</w:t>
            </w:r>
          </w:p>
        </w:tc>
        <w:tc>
          <w:tcPr>
            <w:tcW w:type="dxa" w:w="2160"/>
          </w:tcPr>
          <w:p>
            <w:r>
              <w:t>JD-ERP</w:t>
            </w:r>
          </w:p>
        </w:tc>
        <w:tc>
          <w:tcPr>
            <w:tcW w:type="dxa" w:w="2160"/>
          </w:tcPr>
          <w:p>
            <w:r>
              <w:t>Recovery exercise</w:t>
            </w:r>
          </w:p>
        </w:tc>
      </w:tr>
    </w:tbl>
    <w:p>
      <w:pPr>
        <w:pStyle w:val="Heading1"/>
      </w:pPr>
      <w:r>
        <w:t>Appendix AZ – Publication Completeness Checklist</w:t>
      </w:r>
    </w:p>
    <w:p>
      <w:r>
        <w:t>☐ Purpose and scope clearly defined.</w:t>
      </w:r>
    </w:p>
    <w:p>
      <w:r>
        <w:t>☐ Intended audience identified.</w:t>
      </w:r>
    </w:p>
    <w:p>
      <w:r>
        <w:t>☐ Repository baseline recorded.</w:t>
      </w:r>
    </w:p>
    <w:p>
      <w:r>
        <w:t>☐ Related publications referenced.</w:t>
      </w:r>
    </w:p>
    <w:p>
      <w:r>
        <w:t>☐ Revision history completed.</w:t>
      </w:r>
    </w:p>
    <w:p>
      <w:r>
        <w:t>☐ Glossary updated where required.</w:t>
      </w:r>
    </w:p>
    <w:p>
      <w:r>
        <w:t>☐ Technical review evidence retained.</w:t>
      </w:r>
    </w:p>
    <w:p>
      <w:r>
        <w:t>☐ Approval recorded before publication.</w:t>
      </w:r>
    </w:p>
    <w:p>
      <w:pPr>
        <w:pStyle w:val="Heading1"/>
      </w:pPr>
      <w:r>
        <w:t>Editorial Observation</w:t>
      </w:r>
    </w:p>
    <w:p>
      <w:r>
        <w:t>By this stage the standard defines not only how engineering documentation should be written, but also how it should evolve, be governed, reviewed and integrated with ongoing engineering activities throughout the platform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