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25</w:t>
        <w:br/>
        <w:t>Timestamp: 26 July 2026, 08:30</w:t>
        <w:br/>
        <w:t>Status: Draft for Engineering Review</w:t>
      </w:r>
    </w:p>
    <w:p>
      <w:pPr>
        <w:pStyle w:val="Heading1"/>
      </w:pPr>
      <w:r>
        <w:t>Appendix BD – Engineering Publication Interdependencies</w:t>
      </w:r>
    </w:p>
    <w:p>
      <w:r>
        <w:t>Controlled engineering publications should reference one another where appropriate to maintain a coherent knowledge system. Cross-references should identify the authoritative source rather than duplicating technical content.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Publication</w:t>
            </w:r>
          </w:p>
        </w:tc>
        <w:tc>
          <w:tcPr>
            <w:tcW w:type="dxa" w:w="2160"/>
          </w:tcPr>
          <w:p>
            <w:r>
              <w:t>Related Publication</w:t>
            </w:r>
          </w:p>
        </w:tc>
        <w:tc>
          <w:tcPr>
            <w:tcW w:type="dxa" w:w="2160"/>
          </w:tcPr>
          <w:p>
            <w:r>
              <w:t>Relationship</w:t>
            </w:r>
          </w:p>
        </w:tc>
        <w:tc>
          <w:tcPr>
            <w:tcW w:type="dxa" w:w="2160"/>
          </w:tcPr>
          <w:p>
            <w:r>
              <w:t>Review Trigger</w:t>
            </w:r>
          </w:p>
        </w:tc>
      </w:tr>
      <w:tr>
        <w:tc>
          <w:tcPr>
            <w:tcW w:type="dxa" w:w="2160"/>
          </w:tcPr>
          <w:p>
            <w:r>
              <w:t>JD-EDS</w:t>
            </w:r>
          </w:p>
        </w:tc>
        <w:tc>
          <w:tcPr>
            <w:tcW w:type="dxa" w:w="2160"/>
          </w:tcPr>
          <w:p>
            <w:r>
              <w:t>JD-EOM</w:t>
            </w:r>
          </w:p>
        </w:tc>
        <w:tc>
          <w:tcPr>
            <w:tcW w:type="dxa" w:w="2160"/>
          </w:tcPr>
          <w:p>
            <w:r>
              <w:t>Defines documentation standards</w:t>
            </w:r>
          </w:p>
        </w:tc>
        <w:tc>
          <w:tcPr>
            <w:tcW w:type="dxa" w:w="2160"/>
          </w:tcPr>
          <w:p>
            <w:r>
              <w:t>Standard revision</w:t>
            </w:r>
          </w:p>
        </w:tc>
      </w:tr>
      <w:tr>
        <w:tc>
          <w:tcPr>
            <w:tcW w:type="dxa" w:w="2160"/>
          </w:tcPr>
          <w:p>
            <w:r>
              <w:t>JD-ADR</w:t>
            </w:r>
          </w:p>
        </w:tc>
        <w:tc>
          <w:tcPr>
            <w:tcW w:type="dxa" w:w="2160"/>
          </w:tcPr>
          <w:p>
            <w:r>
              <w:t>JD-EOM</w:t>
            </w:r>
          </w:p>
        </w:tc>
        <w:tc>
          <w:tcPr>
            <w:tcW w:type="dxa" w:w="2160"/>
          </w:tcPr>
          <w:p>
            <w:r>
              <w:t>Provides architectural rationale</w:t>
            </w:r>
          </w:p>
        </w:tc>
        <w:tc>
          <w:tcPr>
            <w:tcW w:type="dxa" w:w="2160"/>
          </w:tcPr>
          <w:p>
            <w:r>
              <w:t>Architecture change</w:t>
            </w:r>
          </w:p>
        </w:tc>
      </w:tr>
      <w:tr>
        <w:tc>
          <w:tcPr>
            <w:tcW w:type="dxa" w:w="2160"/>
          </w:tcPr>
          <w:p>
            <w:r>
              <w:t>JD-IVL</w:t>
            </w:r>
          </w:p>
        </w:tc>
        <w:tc>
          <w:tcPr>
            <w:tcW w:type="dxa" w:w="2160"/>
          </w:tcPr>
          <w:p>
            <w:r>
              <w:t>JD-ERP</w:t>
            </w:r>
          </w:p>
        </w:tc>
        <w:tc>
          <w:tcPr>
            <w:tcW w:type="dxa" w:w="2160"/>
          </w:tcPr>
          <w:p>
            <w:r>
              <w:t>Supplies validation evidence</w:t>
            </w:r>
          </w:p>
        </w:tc>
        <w:tc>
          <w:tcPr>
            <w:tcW w:type="dxa" w:w="2160"/>
          </w:tcPr>
          <w:p>
            <w:r>
              <w:t>Validation completion</w:t>
            </w:r>
          </w:p>
        </w:tc>
      </w:tr>
      <w:tr>
        <w:tc>
          <w:tcPr>
            <w:tcW w:type="dxa" w:w="2160"/>
          </w:tcPr>
          <w:p>
            <w:r>
              <w:t>JD-RN</w:t>
            </w:r>
          </w:p>
        </w:tc>
        <w:tc>
          <w:tcPr>
            <w:tcW w:type="dxa" w:w="2160"/>
          </w:tcPr>
          <w:p>
            <w:r>
              <w:t>JD-EOM</w:t>
            </w:r>
          </w:p>
        </w:tc>
        <w:tc>
          <w:tcPr>
            <w:tcW w:type="dxa" w:w="2160"/>
          </w:tcPr>
          <w:p>
            <w:r>
              <w:t>Summarises operational changes</w:t>
            </w:r>
          </w:p>
        </w:tc>
        <w:tc>
          <w:tcPr>
            <w:tcW w:type="dxa" w:w="2160"/>
          </w:tcPr>
          <w:p>
            <w:r>
              <w:t>Release publication</w:t>
            </w:r>
          </w:p>
        </w:tc>
      </w:tr>
      <w:tr>
        <w:tc>
          <w:tcPr>
            <w:tcW w:type="dxa" w:w="2160"/>
          </w:tcPr>
          <w:p>
            <w:r>
              <w:t>JD-WP</w:t>
            </w:r>
          </w:p>
        </w:tc>
        <w:tc>
          <w:tcPr>
            <w:tcW w:type="dxa" w:w="2160"/>
          </w:tcPr>
          <w:p>
            <w:r>
              <w:t>JD-ADR</w:t>
            </w:r>
          </w:p>
        </w:tc>
        <w:tc>
          <w:tcPr>
            <w:tcW w:type="dxa" w:w="2160"/>
          </w:tcPr>
          <w:p>
            <w:r>
              <w:t>Feeds implementation planning</w:t>
            </w:r>
          </w:p>
        </w:tc>
        <w:tc>
          <w:tcPr>
            <w:tcW w:type="dxa" w:w="2160"/>
          </w:tcPr>
          <w:p>
            <w:r>
              <w:t>Work package approval</w:t>
            </w:r>
          </w:p>
        </w:tc>
      </w:tr>
    </w:tbl>
    <w:p>
      <w:pPr>
        <w:pStyle w:val="Heading1"/>
      </w:pPr>
      <w:r>
        <w:t>Appendix BE – Documentation Consistency Checks</w:t>
      </w:r>
    </w:p>
    <w:p>
      <w:r>
        <w:t>☐ Terminology is used consistently throughout the publication.</w:t>
      </w:r>
    </w:p>
    <w:p>
      <w:r>
        <w:t>☐ Referenced document identifiers are valid.</w:t>
      </w:r>
    </w:p>
    <w:p>
      <w:r>
        <w:t>☐ Revision history matches publication metadata.</w:t>
      </w:r>
    </w:p>
    <w:p>
      <w:r>
        <w:t>☐ Repository baseline information is complete.</w:t>
      </w:r>
    </w:p>
    <w:p>
      <w:r>
        <w:t>☐ Tables, figures and appendices are numbered correctly.</w:t>
      </w:r>
    </w:p>
    <w:p>
      <w:r>
        <w:t>☐ Cross-references resolve to current controlled publications.</w:t>
      </w:r>
    </w:p>
    <w:p>
      <w:pPr>
        <w:pStyle w:val="Heading1"/>
      </w:pPr>
      <w:r>
        <w:t>Appendix BF – Engineering Documentation Objectives</w:t>
      </w:r>
    </w:p>
    <w:p>
      <w:r>
        <w:t>The engineering documentation system should minimise ambiguity, preserve technical intent, support operational continuity, and provide a dependable reference for future engineering work across the full platform lifecycle.</w:t>
      </w:r>
    </w:p>
    <w:p>
      <w:pPr>
        <w:pStyle w:val="Heading1"/>
      </w:pPr>
      <w:r>
        <w:t>Edition 2 Progress Note</w:t>
      </w:r>
    </w:p>
    <w:p>
      <w:r>
        <w:t>Part 25 expands guidance for publication relationships and consistency checking. These practices support the integrity of the engineering documentation library and are intended for inclusion in the consolidated Edition 2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