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26</w:t>
        <w:br/>
        <w:t>Timestamp: 26 July 2026, 08:30</w:t>
        <w:br/>
        <w:t>Status: Draft for Engineering Review</w:t>
      </w:r>
    </w:p>
    <w:p>
      <w:pPr>
        <w:pStyle w:val="Heading1"/>
      </w:pPr>
      <w:r>
        <w:t>Appendix BG – Engineering Documentation Quality Gates</w:t>
      </w:r>
    </w:p>
    <w:p>
      <w:r>
        <w:t>Quality gates provide defined checkpoints that every controlled publication should pass before progressing to the next stage of the publication lifecycle.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Required Evidence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Author Review</w:t>
            </w:r>
          </w:p>
        </w:tc>
        <w:tc>
          <w:tcPr>
            <w:tcW w:type="dxa" w:w="2160"/>
          </w:tcPr>
          <w:p>
            <w:r>
              <w:t>Technical completeness</w:t>
            </w:r>
          </w:p>
        </w:tc>
        <w:tc>
          <w:tcPr>
            <w:tcW w:type="dxa" w:w="2160"/>
          </w:tcPr>
          <w:p>
            <w:r>
              <w:t>Self-review completed</w:t>
            </w:r>
          </w:p>
        </w:tc>
        <w:tc>
          <w:tcPr>
            <w:tcW w:type="dxa" w:w="2160"/>
          </w:tcPr>
          <w:p>
            <w:r>
              <w:t>Ready for peer review</w:t>
            </w:r>
          </w:p>
        </w:tc>
      </w:tr>
      <w:tr>
        <w:tc>
          <w:tcPr>
            <w:tcW w:type="dxa" w:w="2160"/>
          </w:tcPr>
          <w:p>
            <w:r>
              <w:t>Peer Review</w:t>
            </w:r>
          </w:p>
        </w:tc>
        <w:tc>
          <w:tcPr>
            <w:tcW w:type="dxa" w:w="2160"/>
          </w:tcPr>
          <w:p>
            <w:r>
              <w:t>Engineering accuracy</w:t>
            </w:r>
          </w:p>
        </w:tc>
        <w:tc>
          <w:tcPr>
            <w:tcW w:type="dxa" w:w="2160"/>
          </w:tcPr>
          <w:p>
            <w:r>
              <w:t>Review comments resolved</w:t>
            </w:r>
          </w:p>
        </w:tc>
        <w:tc>
          <w:tcPr>
            <w:tcW w:type="dxa" w:w="2160"/>
          </w:tcPr>
          <w:p>
            <w:r>
              <w:t>Ready for approval</w:t>
            </w:r>
          </w:p>
        </w:tc>
      </w:tr>
      <w:tr>
        <w:tc>
          <w:tcPr>
            <w:tcW w:type="dxa" w:w="2160"/>
          </w:tcPr>
          <w:p>
            <w:r>
              <w:t>Approval</w:t>
            </w:r>
          </w:p>
        </w:tc>
        <w:tc>
          <w:tcPr>
            <w:tcW w:type="dxa" w:w="2160"/>
          </w:tcPr>
          <w:p>
            <w:r>
              <w:t>Governance compliance</w:t>
            </w:r>
          </w:p>
        </w:tc>
        <w:tc>
          <w:tcPr>
            <w:tcW w:type="dxa" w:w="2160"/>
          </w:tcPr>
          <w:p>
            <w:r>
              <w:t>Approval record</w:t>
            </w:r>
          </w:p>
        </w:tc>
        <w:tc>
          <w:tcPr>
            <w:tcW w:type="dxa" w:w="2160"/>
          </w:tcPr>
          <w:p>
            <w:r>
              <w:t>Approved for publication</w:t>
            </w:r>
          </w:p>
        </w:tc>
      </w:tr>
      <w:tr>
        <w:tc>
          <w:tcPr>
            <w:tcW w:type="dxa" w:w="2160"/>
          </w:tcPr>
          <w:p>
            <w:r>
              <w:t>Publication</w:t>
            </w:r>
          </w:p>
        </w:tc>
        <w:tc>
          <w:tcPr>
            <w:tcW w:type="dxa" w:w="2160"/>
          </w:tcPr>
          <w:p>
            <w:r>
              <w:t>Controlled release</w:t>
            </w:r>
          </w:p>
        </w:tc>
        <w:tc>
          <w:tcPr>
            <w:tcW w:type="dxa" w:w="2160"/>
          </w:tcPr>
          <w:p>
            <w:r>
              <w:t>Document register updated</w:t>
            </w:r>
          </w:p>
        </w:tc>
        <w:tc>
          <w:tcPr>
            <w:tcW w:type="dxa" w:w="2160"/>
          </w:tcPr>
          <w:p>
            <w:r>
              <w:t>Current edition</w:t>
            </w:r>
          </w:p>
        </w:tc>
      </w:tr>
      <w:tr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Ongoing relevance</w:t>
            </w:r>
          </w:p>
        </w:tc>
        <w:tc>
          <w:tcPr>
            <w:tcW w:type="dxa" w:w="2160"/>
          </w:tcPr>
          <w:p>
            <w:r>
              <w:t>Scheduled review completed</w:t>
            </w:r>
          </w:p>
        </w:tc>
        <w:tc>
          <w:tcPr>
            <w:tcW w:type="dxa" w:w="2160"/>
          </w:tcPr>
          <w:p>
            <w:r>
              <w:t>Retained or revised</w:t>
            </w:r>
          </w:p>
        </w:tc>
      </w:tr>
    </w:tbl>
    <w:p>
      <w:pPr>
        <w:pStyle w:val="Heading1"/>
      </w:pPr>
      <w:r>
        <w:t>Appendix BH – Publication Verification Checklist</w:t>
      </w:r>
    </w:p>
    <w:p>
      <w:r>
        <w:t>☐ Scope matches document purpose.</w:t>
      </w:r>
    </w:p>
    <w:p>
      <w:r>
        <w:t>☐ Technical terminology is consistent.</w:t>
      </w:r>
    </w:p>
    <w:p>
      <w:r>
        <w:t>☐ Repository references are current.</w:t>
      </w:r>
    </w:p>
    <w:p>
      <w:r>
        <w:t>☐ Linked publications have been verified.</w:t>
      </w:r>
    </w:p>
    <w:p>
      <w:r>
        <w:t>☐ Figures and tables are correctly referenced.</w:t>
      </w:r>
    </w:p>
    <w:p>
      <w:r>
        <w:t>☐ Document owner has confirmed accuracy.</w:t>
      </w:r>
    </w:p>
    <w:p>
      <w:r>
        <w:t>☐ Approval has been formally recorded.</w:t>
      </w:r>
    </w:p>
    <w:p>
      <w:pPr>
        <w:pStyle w:val="Heading1"/>
      </w:pPr>
      <w:r>
        <w:t>Appendix BI – Engineering Documentation Philosophy</w:t>
      </w:r>
    </w:p>
    <w:p>
      <w:r>
        <w:t>A controlled engineering publication should serve as a dependable source of engineering knowledge. It should explain intent, document decisions, support operations, enable recovery and preserve organisational understanding throughout the lifetime of the platform.</w:t>
      </w:r>
    </w:p>
    <w:p>
      <w:pPr>
        <w:pStyle w:val="Heading1"/>
      </w:pPr>
      <w:r>
        <w:t>Edition 2 Development Status</w:t>
      </w:r>
    </w:p>
    <w:p>
      <w:r>
        <w:t>Part 26 introduces publication quality gates and verification guidance. These elements complement the governance framework established in earlier parts and are intended for inclusion in the consolidated Edition 2 engineering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