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JD-EDS-001</w:t>
        <w:br/>
        <w:t>Engineering Documentation Standard</w:t>
      </w:r>
    </w:p>
    <w:p>
      <w:r>
        <w:t>Edition 2 – Part 27</w:t>
        <w:br/>
        <w:t>Timestamp: 26 July 2026, 08:30</w:t>
        <w:br/>
        <w:t>Status: Draft for Engineering Review</w:t>
      </w:r>
    </w:p>
    <w:p>
      <w:pPr>
        <w:pStyle w:val="Heading1"/>
      </w:pPr>
      <w:r>
        <w:t>Appendix BJ – Controlled Edition Policy</w:t>
      </w:r>
    </w:p>
    <w:p>
      <w:r>
        <w:t>Controlled publications should distinguish between working drafts and issued editions. Incremental working parts may be created during authoring, but the controlled publication becomes the authoritative reference once formally issued.</w:t>
      </w:r>
    </w:p>
    <w:tbl>
      <w:tblPr>
        <w:tblStyle w:val="TableGrid"/>
        <w:tblW w:type="auto" w:w="0"/>
        <w:tblLook w:firstColumn="1" w:firstRow="1" w:lastColumn="0" w:lastRow="0" w:noHBand="0" w:noVBand="1" w:val="04A0"/>
      </w:tblPr>
      <w:tblGrid>
        <w:gridCol w:w="2880"/>
        <w:gridCol w:w="2880"/>
        <w:gridCol w:w="2880"/>
      </w:tblGrid>
      <w:tr>
        <w:tc>
          <w:tcPr>
            <w:tcW w:type="dxa" w:w="2880"/>
          </w:tcPr>
          <w:p>
            <w:r>
              <w:t>Publication State</w:t>
            </w:r>
          </w:p>
        </w:tc>
        <w:tc>
          <w:tcPr>
            <w:tcW w:type="dxa" w:w="2880"/>
          </w:tcPr>
          <w:p>
            <w:r>
              <w:t>Purpose</w:t>
            </w:r>
          </w:p>
        </w:tc>
        <w:tc>
          <w:tcPr>
            <w:tcW w:type="dxa" w:w="2880"/>
          </w:tcPr>
          <w:p>
            <w:r>
              <w:t>Retention</w:t>
            </w:r>
          </w:p>
        </w:tc>
      </w:tr>
      <w:tr>
        <w:tc>
          <w:tcPr>
            <w:tcW w:type="dxa" w:w="2880"/>
          </w:tcPr>
          <w:p>
            <w:r>
              <w:t>Working Part</w:t>
            </w:r>
          </w:p>
        </w:tc>
        <w:tc>
          <w:tcPr>
            <w:tcW w:type="dxa" w:w="2880"/>
          </w:tcPr>
          <w:p>
            <w:r>
              <w:t>Develop and review content</w:t>
            </w:r>
          </w:p>
        </w:tc>
        <w:tc>
          <w:tcPr>
            <w:tcW w:type="dxa" w:w="2880"/>
          </w:tcPr>
          <w:p>
            <w:r>
              <w:t>Retain during drafting</w:t>
            </w:r>
          </w:p>
        </w:tc>
      </w:tr>
      <w:tr>
        <w:tc>
          <w:tcPr>
            <w:tcW w:type="dxa" w:w="2880"/>
          </w:tcPr>
          <w:p>
            <w:r>
              <w:t>Consolidated Draft</w:t>
            </w:r>
          </w:p>
        </w:tc>
        <w:tc>
          <w:tcPr>
            <w:tcW w:type="dxa" w:w="2880"/>
          </w:tcPr>
          <w:p>
            <w:r>
              <w:t>Editorial integration</w:t>
            </w:r>
          </w:p>
        </w:tc>
        <w:tc>
          <w:tcPr>
            <w:tcW w:type="dxa" w:w="2880"/>
          </w:tcPr>
          <w:p>
            <w:r>
              <w:t>Retain until approval</w:t>
            </w:r>
          </w:p>
        </w:tc>
      </w:tr>
      <w:tr>
        <w:tc>
          <w:tcPr>
            <w:tcW w:type="dxa" w:w="2880"/>
          </w:tcPr>
          <w:p>
            <w:r>
              <w:t>Controlled Edition</w:t>
            </w:r>
          </w:p>
        </w:tc>
        <w:tc>
          <w:tcPr>
            <w:tcW w:type="dxa" w:w="2880"/>
          </w:tcPr>
          <w:p>
            <w:r>
              <w:t>Authoritative publication</w:t>
            </w:r>
          </w:p>
        </w:tc>
        <w:tc>
          <w:tcPr>
            <w:tcW w:type="dxa" w:w="2880"/>
          </w:tcPr>
          <w:p>
            <w:r>
              <w:t>Primary reference</w:t>
            </w:r>
          </w:p>
        </w:tc>
      </w:tr>
      <w:tr>
        <w:tc>
          <w:tcPr>
            <w:tcW w:type="dxa" w:w="2880"/>
          </w:tcPr>
          <w:p>
            <w:r>
              <w:t>Superseded Edition</w:t>
            </w:r>
          </w:p>
        </w:tc>
        <w:tc>
          <w:tcPr>
            <w:tcW w:type="dxa" w:w="2880"/>
          </w:tcPr>
          <w:p>
            <w:r>
              <w:t>Historical traceability</w:t>
            </w:r>
          </w:p>
        </w:tc>
        <w:tc>
          <w:tcPr>
            <w:tcW w:type="dxa" w:w="2880"/>
          </w:tcPr>
          <w:p>
            <w:r>
              <w:t>Archive</w:t>
            </w:r>
          </w:p>
        </w:tc>
      </w:tr>
    </w:tbl>
    <w:p>
      <w:pPr>
        <w:pStyle w:val="Heading1"/>
      </w:pPr>
      <w:r>
        <w:t>Appendix BK – Publication Supersession</w:t>
      </w:r>
    </w:p>
    <w:p>
      <w:r>
        <w:t>When a consolidated controlled edition is released it supersedes the working parts as the primary engineering reference. Earlier parts may be retained in an authoring archive for historical purposes but should no longer be cited as the authoritative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