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28</w:t>
        <w:br/>
        <w:t>Timestamp: 26 July 2026, 08:30</w:t>
        <w:br/>
        <w:t>Status: Draft for Engineering Review</w:t>
      </w:r>
    </w:p>
    <w:p>
      <w:pPr>
        <w:pStyle w:val="Heading1"/>
      </w:pPr>
      <w:r>
        <w:t>Appendix BL – Documentation Archive Policy</w:t>
      </w:r>
    </w:p>
    <w:p>
      <w:r>
        <w:t>A controlled archive preserves the evolution of engineering knowledge while ensuring that only the current controlled edition is used for engineering activities.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Artefact</w:t>
            </w:r>
          </w:p>
        </w:tc>
        <w:tc>
          <w:tcPr>
            <w:tcW w:type="dxa" w:w="2160"/>
          </w:tcPr>
          <w:p>
            <w:r>
              <w:t>Status After Consolidation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Reference Policy</w:t>
            </w:r>
          </w:p>
        </w:tc>
      </w:tr>
      <w:tr>
        <w:tc>
          <w:tcPr>
            <w:tcW w:type="dxa" w:w="2160"/>
          </w:tcPr>
          <w:p>
            <w:r>
              <w:t>Working Parts</w:t>
            </w:r>
          </w:p>
        </w:tc>
        <w:tc>
          <w:tcPr>
            <w:tcW w:type="dxa" w:w="2160"/>
          </w:tcPr>
          <w:p>
            <w:r>
              <w:t>Archived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  <w:tc>
          <w:tcPr>
            <w:tcW w:type="dxa" w:w="2160"/>
          </w:tcPr>
          <w:p>
            <w:r>
              <w:t>Do not cite operationally</w:t>
            </w:r>
          </w:p>
        </w:tc>
      </w:tr>
      <w:tr>
        <w:tc>
          <w:tcPr>
            <w:tcW w:type="dxa" w:w="2160"/>
          </w:tcPr>
          <w:p>
            <w:r>
              <w:t>Editorial Drafts</w:t>
            </w:r>
          </w:p>
        </w:tc>
        <w:tc>
          <w:tcPr>
            <w:tcW w:type="dxa" w:w="2160"/>
          </w:tcPr>
          <w:p>
            <w:r>
              <w:t>Archived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  <w:tc>
          <w:tcPr>
            <w:tcW w:type="dxa" w:w="2160"/>
          </w:tcPr>
          <w:p>
            <w:r>
              <w:t>Reference only for history</w:t>
            </w:r>
          </w:p>
        </w:tc>
      </w:tr>
      <w:tr>
        <w:tc>
          <w:tcPr>
            <w:tcW w:type="dxa" w:w="2160"/>
          </w:tcPr>
          <w:p>
            <w:r>
              <w:t>Controlled Edition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Until superseded</w:t>
            </w:r>
          </w:p>
        </w:tc>
        <w:tc>
          <w:tcPr>
            <w:tcW w:type="dxa" w:w="2160"/>
          </w:tcPr>
          <w:p>
            <w:r>
              <w:t>Authoritative source</w:t>
            </w:r>
          </w:p>
        </w:tc>
      </w:tr>
      <w:tr>
        <w:tc>
          <w:tcPr>
            <w:tcW w:type="dxa" w:w="2160"/>
          </w:tcPr>
          <w:p>
            <w:r>
              <w:t>Superseded Edition</w:t>
            </w:r>
          </w:p>
        </w:tc>
        <w:tc>
          <w:tcPr>
            <w:tcW w:type="dxa" w:w="2160"/>
          </w:tcPr>
          <w:p>
            <w:r>
              <w:t>Archived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  <w:tc>
          <w:tcPr>
            <w:tcW w:type="dxa" w:w="2160"/>
          </w:tcPr>
          <w:p>
            <w:r>
              <w:t>Historical reference only</w:t>
            </w:r>
          </w:p>
        </w:tc>
      </w:tr>
    </w:tbl>
    <w:p>
      <w:pPr>
        <w:pStyle w:val="Heading1"/>
      </w:pPr>
      <w:r>
        <w:t>Appendix BM – Documentation Continuity</w:t>
      </w:r>
    </w:p>
    <w:p>
      <w:pPr>
        <w:pStyle w:val="ListBullet"/>
      </w:pPr>
      <w:r>
        <w:t>Maintain one authoritative controlled edition.</w:t>
      </w:r>
    </w:p>
    <w:p>
      <w:pPr>
        <w:pStyle w:val="ListBullet"/>
      </w:pPr>
      <w:r>
        <w:t>Archive every superseded edition without modification.</w:t>
      </w:r>
    </w:p>
    <w:p>
      <w:pPr>
        <w:pStyle w:val="ListBullet"/>
      </w:pPr>
      <w:r>
        <w:t>Record supersession in the revision history.</w:t>
      </w:r>
    </w:p>
    <w:p>
      <w:pPr>
        <w:pStyle w:val="ListBullet"/>
      </w:pPr>
      <w:r>
        <w:t>Link each edition to its repository baseline.</w:t>
      </w:r>
    </w:p>
    <w:p>
      <w:pPr>
        <w:pStyle w:val="ListBullet"/>
      </w:pPr>
      <w:r>
        <w:t>Preserve draft history separately from controlled publications.</w:t>
      </w:r>
    </w:p>
    <w:p>
      <w:pPr>
        <w:pStyle w:val="ListBullet"/>
      </w:pPr>
      <w:r>
        <w:t>Never edit an archived edition after supersession.</w:t>
      </w:r>
    </w:p>
    <w:p>
      <w:pPr>
        <w:pStyle w:val="Heading1"/>
      </w:pPr>
      <w:r>
        <w:t>Appendix BN – Publication Governance Statement</w:t>
      </w:r>
    </w:p>
    <w:p>
      <w:r>
        <w:t>The engineering documentation library should maintain a single source of truth for every publication. Draft material supports development, while the controlled edition represents the official engineering position until formally superseded.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