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JD-EDS-001</w:t>
        <w:br/>
        <w:t>Engineering Documentation Standard</w:t>
      </w:r>
    </w:p>
    <w:p>
      <w:r>
        <w:t>Edition 2 – Part 29</w:t>
        <w:br/>
        <w:t>Timestamp: 26 July 2026, 08:30</w:t>
        <w:br/>
        <w:t>Status: Draft for Engineering Review</w:t>
      </w:r>
    </w:p>
    <w:p>
      <w:pPr>
        <w:pStyle w:val="Heading1"/>
      </w:pPr>
      <w:r>
        <w:t>Appendix BO – Controlled Publication Numbering</w:t>
      </w:r>
    </w:p>
    <w:p>
      <w:r>
        <w:t>Each controlled publication should use a stable identifier that remains unchanged throughout the lifetime of the document. New editions revise the version, not the document identifier.</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Element</w:t>
            </w:r>
          </w:p>
        </w:tc>
        <w:tc>
          <w:tcPr>
            <w:tcW w:type="dxa" w:w="2160"/>
          </w:tcPr>
          <w:p>
            <w:r>
              <w:t>Example</w:t>
            </w:r>
          </w:p>
        </w:tc>
        <w:tc>
          <w:tcPr>
            <w:tcW w:type="dxa" w:w="2160"/>
          </w:tcPr>
          <w:p>
            <w:r>
              <w:t>Purpose</w:t>
            </w:r>
          </w:p>
        </w:tc>
        <w:tc>
          <w:tcPr>
            <w:tcW w:type="dxa" w:w="2160"/>
          </w:tcPr>
          <w:p>
            <w:r>
              <w:t>Changes?</w:t>
            </w:r>
          </w:p>
        </w:tc>
      </w:tr>
      <w:tr>
        <w:tc>
          <w:tcPr>
            <w:tcW w:type="dxa" w:w="2160"/>
          </w:tcPr>
          <w:p>
            <w:r>
              <w:t>Document ID</w:t>
            </w:r>
          </w:p>
        </w:tc>
        <w:tc>
          <w:tcPr>
            <w:tcW w:type="dxa" w:w="2160"/>
          </w:tcPr>
          <w:p>
            <w:r>
              <w:t>JD-EDS-001</w:t>
            </w:r>
          </w:p>
        </w:tc>
        <w:tc>
          <w:tcPr>
            <w:tcW w:type="dxa" w:w="2160"/>
          </w:tcPr>
          <w:p>
            <w:r>
              <w:t>Permanent identifier</w:t>
            </w:r>
          </w:p>
        </w:tc>
        <w:tc>
          <w:tcPr>
            <w:tcW w:type="dxa" w:w="2160"/>
          </w:tcPr>
          <w:p>
            <w:r>
              <w:t>No</w:t>
            </w:r>
          </w:p>
        </w:tc>
      </w:tr>
      <w:tr>
        <w:tc>
          <w:tcPr>
            <w:tcW w:type="dxa" w:w="2160"/>
          </w:tcPr>
          <w:p>
            <w:r>
              <w:t>Edition</w:t>
            </w:r>
          </w:p>
        </w:tc>
        <w:tc>
          <w:tcPr>
            <w:tcW w:type="dxa" w:w="2160"/>
          </w:tcPr>
          <w:p>
            <w:r>
              <w:t>Edition 2</w:t>
            </w:r>
          </w:p>
        </w:tc>
        <w:tc>
          <w:tcPr>
            <w:tcW w:type="dxa" w:w="2160"/>
          </w:tcPr>
          <w:p>
            <w:r>
              <w:t>Major publication</w:t>
            </w:r>
          </w:p>
        </w:tc>
        <w:tc>
          <w:tcPr>
            <w:tcW w:type="dxa" w:w="2160"/>
          </w:tcPr>
          <w:p>
            <w:r>
              <w:t>Yes</w:t>
            </w:r>
          </w:p>
        </w:tc>
      </w:tr>
      <w:tr>
        <w:tc>
          <w:tcPr>
            <w:tcW w:type="dxa" w:w="2160"/>
          </w:tcPr>
          <w:p>
            <w:r>
              <w:t>Version</w:t>
            </w:r>
          </w:p>
        </w:tc>
        <w:tc>
          <w:tcPr>
            <w:tcW w:type="dxa" w:w="2160"/>
          </w:tcPr>
          <w:p>
            <w:r>
              <w:t>2.1.0</w:t>
            </w:r>
          </w:p>
        </w:tc>
        <w:tc>
          <w:tcPr>
            <w:tcW w:type="dxa" w:w="2160"/>
          </w:tcPr>
          <w:p>
            <w:r>
              <w:t>Revision level</w:t>
            </w:r>
          </w:p>
        </w:tc>
        <w:tc>
          <w:tcPr>
            <w:tcW w:type="dxa" w:w="2160"/>
          </w:tcPr>
          <w:p>
            <w:r>
              <w:t>Yes</w:t>
            </w:r>
          </w:p>
        </w:tc>
      </w:tr>
      <w:tr>
        <w:tc>
          <w:tcPr>
            <w:tcW w:type="dxa" w:w="2160"/>
          </w:tcPr>
          <w:p>
            <w:r>
              <w:t>Status</w:t>
            </w:r>
          </w:p>
        </w:tc>
        <w:tc>
          <w:tcPr>
            <w:tcW w:type="dxa" w:w="2160"/>
          </w:tcPr>
          <w:p>
            <w:r>
              <w:t>Approved</w:t>
            </w:r>
          </w:p>
        </w:tc>
        <w:tc>
          <w:tcPr>
            <w:tcW w:type="dxa" w:w="2160"/>
          </w:tcPr>
          <w:p>
            <w:r>
              <w:t>Publication state</w:t>
            </w:r>
          </w:p>
        </w:tc>
        <w:tc>
          <w:tcPr>
            <w:tcW w:type="dxa" w:w="2160"/>
          </w:tcPr>
          <w:p>
            <w:r>
              <w:t>Yes</w:t>
            </w:r>
          </w:p>
        </w:tc>
      </w:tr>
    </w:tbl>
    <w:p>
      <w:pPr>
        <w:pStyle w:val="Heading1"/>
      </w:pPr>
      <w:r>
        <w:t>Appendix BP – Edition Release Workflow</w:t>
      </w:r>
    </w:p>
    <w:p>
      <w:pPr>
        <w:pStyle w:val="ListBullet"/>
      </w:pPr>
      <w:r>
        <w:t>Complete authoring and peer review.</w:t>
      </w:r>
    </w:p>
    <w:p>
      <w:pPr>
        <w:pStyle w:val="ListBullet"/>
      </w:pPr>
      <w:r>
        <w:t>Merge working parts into a consolidated draft.</w:t>
      </w:r>
    </w:p>
    <w:p>
      <w:pPr>
        <w:pStyle w:val="ListBullet"/>
      </w:pPr>
      <w:r>
        <w:t>Perform editorial consistency review.</w:t>
      </w:r>
    </w:p>
    <w:p>
      <w:pPr>
        <w:pStyle w:val="ListBullet"/>
      </w:pPr>
      <w:r>
        <w:t>Approve the controlled edition.</w:t>
      </w:r>
    </w:p>
    <w:p>
      <w:pPr>
        <w:pStyle w:val="ListBullet"/>
      </w:pPr>
      <w:r>
        <w:t>Publish the controlled edition.</w:t>
      </w:r>
    </w:p>
    <w:p>
      <w:pPr>
        <w:pStyle w:val="ListBullet"/>
      </w:pPr>
      <w:r>
        <w:t>Archive working drafts and superseded editions.</w:t>
      </w:r>
    </w:p>
    <w:p>
      <w:pPr>
        <w:pStyle w:val="ListBullet"/>
      </w:pPr>
      <w:r>
        <w:t>Update the document register.</w:t>
      </w:r>
    </w:p>
    <w:p>
      <w:pPr>
        <w:pStyle w:val="Heading1"/>
      </w:pPr>
      <w:r>
        <w:t>Appendix BQ – Single Source of Truth</w:t>
      </w:r>
    </w:p>
    <w:p>
      <w:r>
        <w:t>Only one controlled edition of a publication should be designated as current at any point in time. Engineers should reference that edition for operational and development activities, while earlier drafts and superseded editions remain in the archive to preserve historical traceability.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