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3</w:t>
        <w:br/>
        <w:t>Timestamp: 26 July 2026, 08:30</w:t>
        <w:br/>
        <w:t>Status: Draft for Engineering Review</w:t>
      </w:r>
    </w:p>
    <w:p>
      <w:pPr>
        <w:pStyle w:val="Heading1"/>
      </w:pPr>
      <w:r>
        <w:t>Engineering Publication Templates</w:t>
      </w:r>
    </w:p>
    <w:p>
      <w:r>
        <w:t>Every controlled publication should begin from an approved template to ensure consistency across the engineering library.</w:t>
      </w:r>
    </w:p>
    <w:p>
      <w:pPr>
        <w:pStyle w:val="ListBullet"/>
      </w:pPr>
      <w:r>
        <w:t>Cover page with document metadata</w:t>
      </w:r>
    </w:p>
    <w:p>
      <w:pPr>
        <w:pStyle w:val="ListBullet"/>
      </w:pPr>
      <w:r>
        <w:t>Document control register</w:t>
      </w:r>
    </w:p>
    <w:p>
      <w:pPr>
        <w:pStyle w:val="ListBullet"/>
      </w:pPr>
      <w:r>
        <w:t>Revision history</w:t>
      </w:r>
    </w:p>
    <w:p>
      <w:pPr>
        <w:pStyle w:val="ListBullet"/>
      </w:pPr>
      <w:r>
        <w:t>Automatic table of contents</w:t>
      </w:r>
    </w:p>
    <w:p>
      <w:pPr>
        <w:pStyle w:val="ListBullet"/>
      </w:pPr>
      <w:r>
        <w:t>Body organised by numbered headings</w:t>
      </w:r>
    </w:p>
    <w:p>
      <w:pPr>
        <w:pStyle w:val="ListBullet"/>
      </w:pPr>
      <w:r>
        <w:t>Appendices, glossary and index where applicable</w:t>
      </w:r>
    </w:p>
    <w:p>
      <w:pPr>
        <w:pStyle w:val="Heading1"/>
      </w:pPr>
      <w:r>
        <w:t>Engineering Decision Records</w:t>
      </w:r>
    </w:p>
    <w:p>
      <w:r>
        <w:t>Architecture decisions should be captured as reusable records linked to the implementation baseline.</w:t>
      </w:r>
    </w:p>
    <w:p>
      <w:pPr>
        <w:pStyle w:val="ListBullet"/>
      </w:pPr>
      <w:r>
        <w:t>Decision identifier</w:t>
      </w:r>
    </w:p>
    <w:p>
      <w:pPr>
        <w:pStyle w:val="ListBullet"/>
      </w:pPr>
      <w:r>
        <w:t>Problem statement</w:t>
      </w:r>
    </w:p>
    <w:p>
      <w:pPr>
        <w:pStyle w:val="ListBullet"/>
      </w:pPr>
      <w:r>
        <w:t>Options considered</w:t>
      </w:r>
    </w:p>
    <w:p>
      <w:pPr>
        <w:pStyle w:val="ListBullet"/>
      </w:pPr>
      <w:r>
        <w:t>Decision taken</w:t>
      </w:r>
    </w:p>
    <w:p>
      <w:pPr>
        <w:pStyle w:val="ListBullet"/>
      </w:pPr>
      <w:r>
        <w:t>Technical consequences</w:t>
      </w:r>
    </w:p>
    <w:p>
      <w:pPr>
        <w:pStyle w:val="ListBullet"/>
      </w:pPr>
      <w:r>
        <w:t>Repository references</w:t>
      </w:r>
    </w:p>
    <w:p>
      <w:pPr>
        <w:pStyle w:val="ListBullet"/>
      </w:pPr>
      <w:r>
        <w:t>Related work packages</w:t>
      </w:r>
    </w:p>
    <w:p>
      <w:pPr>
        <w:pStyle w:val="Heading1"/>
      </w:pPr>
      <w:r>
        <w:t>Repository Traceability</w:t>
      </w:r>
    </w:p>
    <w:p>
      <w:r>
        <w:t>Engineering documents shall enable an engineer to move from documentation to implementation without ambiguity.</w:t>
      </w:r>
    </w:p>
    <w:p>
      <w:pPr>
        <w:pStyle w:val="ListBullet"/>
      </w:pPr>
      <w:r>
        <w:t>Reference repository branch</w:t>
      </w:r>
    </w:p>
    <w:p>
      <w:pPr>
        <w:pStyle w:val="ListBullet"/>
      </w:pPr>
      <w:r>
        <w:t>Reference commit hash</w:t>
      </w:r>
    </w:p>
    <w:p>
      <w:pPr>
        <w:pStyle w:val="ListBullet"/>
      </w:pPr>
      <w:r>
        <w:t>Reference release tag</w:t>
      </w:r>
    </w:p>
    <w:p>
      <w:pPr>
        <w:pStyle w:val="ListBullet"/>
      </w:pPr>
      <w:r>
        <w:t>Reference validation report</w:t>
      </w:r>
    </w:p>
    <w:p>
      <w:pPr>
        <w:pStyle w:val="ListBullet"/>
      </w:pPr>
      <w:r>
        <w:t>Reference architecture document</w:t>
      </w:r>
    </w:p>
    <w:p>
      <w:pPr>
        <w:pStyle w:val="ListBullet"/>
      </w:pPr>
      <w:r>
        <w:t>Reference operational procedure</w:t>
      </w:r>
    </w:p>
    <w:p>
      <w:pPr>
        <w:pStyle w:val="Heading1"/>
      </w:pPr>
      <w:r>
        <w:t>Example Publication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JD-EDS-001</w:t>
            </w:r>
          </w:p>
        </w:tc>
      </w:tr>
      <w:tr>
        <w:tc>
          <w:tcPr>
            <w:tcW w:type="dxa" w:w="4320"/>
          </w:tcPr>
          <w:p>
            <w:r>
              <w:t>Edition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Engineering Review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Engineering Team</w:t>
            </w:r>
          </w:p>
        </w:tc>
      </w:tr>
      <w:tr>
        <w:tc>
          <w:tcPr>
            <w:tcW w:type="dxa" w:w="4320"/>
          </w:tcPr>
          <w:p>
            <w:r>
              <w:t>Review Frequency</w:t>
            </w:r>
          </w:p>
        </w:tc>
        <w:tc>
          <w:tcPr>
            <w:tcW w:type="dxa" w:w="4320"/>
          </w:tcPr>
          <w:p>
            <w:r>
              <w:t>Each major release</w:t>
            </w:r>
          </w:p>
        </w:tc>
      </w:tr>
      <w:tr>
        <w:tc>
          <w:tcPr>
            <w:tcW w:type="dxa" w:w="4320"/>
          </w:tcPr>
          <w:p>
            <w:r>
              <w:t>Retention</w:t>
            </w:r>
          </w:p>
        </w:tc>
        <w:tc>
          <w:tcPr>
            <w:tcW w:type="dxa" w:w="4320"/>
          </w:tcPr>
          <w:p>
            <w:r>
              <w:t>Permanent</w:t>
            </w:r>
          </w:p>
        </w:tc>
      </w:tr>
    </w:tbl>
    <w:p>
      <w:pPr>
        <w:pStyle w:val="Heading1"/>
      </w:pPr>
      <w:r>
        <w:t>Engineering Authoring Guidance</w:t>
      </w:r>
    </w:p>
    <w:p>
      <w:pPr>
        <w:pStyle w:val="Heading2"/>
      </w:pPr>
      <w:r>
        <w:t>Guideline 1</w:t>
      </w:r>
    </w:p>
    <w:p>
      <w:r>
        <w:t>Write with sufficient technical detail that an engineer unfamiliar with the platform can understand the intent, implementation boundaries, operational responsibilities and recovery expectations without reverse-engineering the codebase.</w:t>
      </w:r>
    </w:p>
    <w:p>
      <w:pPr>
        <w:pStyle w:val="Heading2"/>
      </w:pPr>
      <w:r>
        <w:t>Guideline 2</w:t>
      </w:r>
    </w:p>
    <w:p>
      <w:r>
        <w:t>Write with sufficient technical detail that an engineer unfamiliar with the platform can understand the intent, implementation boundaries, operational responsibilities and recovery expectations without reverse-engineering the codebase.</w:t>
      </w:r>
    </w:p>
    <w:p>
      <w:pPr>
        <w:pStyle w:val="Heading2"/>
      </w:pPr>
      <w:r>
        <w:t>Guideline 3</w:t>
      </w:r>
    </w:p>
    <w:p>
      <w:r>
        <w:t>Write with sufficient technical detail that an engineer unfamiliar with the platform can understand the intent, implementation boundaries, operational responsibilities and recovery expectations without reverse-engineering the codebase.</w:t>
      </w:r>
    </w:p>
    <w:p>
      <w:pPr>
        <w:pStyle w:val="Heading2"/>
      </w:pPr>
      <w:r>
        <w:t>Guideline 4</w:t>
      </w:r>
    </w:p>
    <w:p>
      <w:r>
        <w:t>Write with sufficient technical detail that an engineer unfamiliar with the platform can understand the intent, implementation boundaries, operational responsibilities and recovery expectations without reverse-engineering the codebase.</w:t>
      </w:r>
    </w:p>
    <w:p>
      <w:pPr>
        <w:pStyle w:val="Heading2"/>
      </w:pPr>
      <w:r>
        <w:t>Guideline 5</w:t>
      </w:r>
    </w:p>
    <w:p>
      <w:r>
        <w:t>Write with sufficient technical detail that an engineer unfamiliar with the platform can understand the intent, implementation boundaries, operational responsibilities and recovery expectations without reverse-engineering the codebase.</w:t>
      </w:r>
    </w:p>
    <w:p>
      <w:pPr>
        <w:pStyle w:val="Heading2"/>
      </w:pPr>
      <w:r>
        <w:t>Guideline 6</w:t>
      </w:r>
    </w:p>
    <w:p>
      <w:r>
        <w:t>Write with sufficient technical detail that an engineer unfamiliar with the platform can understand the intent, implementation boundaries, operational responsibilities and recovery expectations without reverse-engineering the codebase.</w:t>
      </w:r>
    </w:p>
    <w:p>
      <w:pPr>
        <w:pStyle w:val="Heading2"/>
      </w:pPr>
      <w:r>
        <w:t>Guideline 7</w:t>
      </w:r>
    </w:p>
    <w:p>
      <w:r>
        <w:t>Write with sufficient technical detail that an engineer unfamiliar with the platform can understand the intent, implementation boundaries, operational responsibilities and recovery expectations without reverse-engineering the codebase.</w:t>
      </w:r>
    </w:p>
    <w:p>
      <w:pPr>
        <w:pStyle w:val="Heading2"/>
      </w:pPr>
      <w:r>
        <w:t>Guideline 8</w:t>
      </w:r>
    </w:p>
    <w:p>
      <w:r>
        <w:t>Write with sufficient technical detail that an engineer unfamiliar with the platform can understand the intent, implementation boundaries, operational responsibilities and recovery expectations without reverse-engineering the codebase.</w:t>
      </w:r>
    </w:p>
    <w:p>
      <w:pPr>
        <w:pStyle w:val="Heading2"/>
      </w:pPr>
      <w:r>
        <w:t>Guideline 9</w:t>
      </w:r>
    </w:p>
    <w:p>
      <w:r>
        <w:t>Write with sufficient technical detail that an engineer unfamiliar with the platform can understand the intent, implementation boundaries, operational responsibilities and recovery expectations without reverse-engineering the codebase.</w:t>
      </w:r>
    </w:p>
    <w:p>
      <w:pPr>
        <w:pStyle w:val="Heading2"/>
      </w:pPr>
      <w:r>
        <w:t>Guideline 10</w:t>
      </w:r>
    </w:p>
    <w:p>
      <w:r>
        <w:t>Write with sufficient technical detail that an engineer unfamiliar with the platform can understand the intent, implementation boundaries, operational responsibilities and recovery expectations without reverse-engineering the codebase.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