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30</w:t>
        <w:br/>
        <w:t>Timestamp: 26 July 2026, 08:30</w:t>
        <w:br/>
        <w:t>Status: Draft for Engineering Review</w:t>
      </w:r>
    </w:p>
    <w:p>
      <w:pPr>
        <w:pStyle w:val="Heading1"/>
      </w:pPr>
      <w:r>
        <w:t>Appendix BR – Engineering Publication Lifecycle Governance</w:t>
      </w:r>
    </w:p>
    <w:p>
      <w:r>
        <w:t>Controlled publications should move through a defined governance lifecycle. Each transition should be supported by documented evidence so that the status of every publication is clear to engineers and reviewers.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Lifecycle Stage</w:t>
            </w:r>
          </w:p>
        </w:tc>
        <w:tc>
          <w:tcPr>
            <w:tcW w:type="dxa" w:w="1728"/>
          </w:tcPr>
          <w:p>
            <w:r>
              <w:t>Entry Criteria</w:t>
            </w:r>
          </w:p>
        </w:tc>
        <w:tc>
          <w:tcPr>
            <w:tcW w:type="dxa" w:w="1728"/>
          </w:tcPr>
          <w:p>
            <w:r>
              <w:t>Required Evidence</w:t>
            </w:r>
          </w:p>
        </w:tc>
        <w:tc>
          <w:tcPr>
            <w:tcW w:type="dxa" w:w="1728"/>
          </w:tcPr>
          <w:p>
            <w:r>
              <w:t>Responsible Role</w:t>
            </w:r>
          </w:p>
        </w:tc>
        <w:tc>
          <w:tcPr>
            <w:tcW w:type="dxa" w:w="1728"/>
          </w:tcPr>
          <w:p>
            <w:r>
              <w:t>Next State</w:t>
            </w:r>
          </w:p>
        </w:tc>
      </w:tr>
      <w:tr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Author assigned</w:t>
            </w:r>
          </w:p>
        </w:tc>
        <w:tc>
          <w:tcPr>
            <w:tcW w:type="dxa" w:w="1728"/>
          </w:tcPr>
          <w:p>
            <w:r>
              <w:t>Initial content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Technical Review</w:t>
            </w:r>
          </w:p>
        </w:tc>
      </w:tr>
      <w:tr>
        <w:tc>
          <w:tcPr>
            <w:tcW w:type="dxa" w:w="1728"/>
          </w:tcPr>
          <w:p>
            <w:r>
              <w:t>Technical Review</w:t>
            </w:r>
          </w:p>
        </w:tc>
        <w:tc>
          <w:tcPr>
            <w:tcW w:type="dxa" w:w="1728"/>
          </w:tcPr>
          <w:p>
            <w:r>
              <w:t>Draft complete</w:t>
            </w:r>
          </w:p>
        </w:tc>
        <w:tc>
          <w:tcPr>
            <w:tcW w:type="dxa" w:w="1728"/>
          </w:tcPr>
          <w:p>
            <w:r>
              <w:t>Review comments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Approval</w:t>
            </w:r>
          </w:p>
        </w:tc>
      </w:tr>
      <w:tr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Comments resolved</w:t>
            </w:r>
          </w:p>
        </w:tc>
        <w:tc>
          <w:tcPr>
            <w:tcW w:type="dxa" w:w="1728"/>
          </w:tcPr>
          <w:p>
            <w:r>
              <w:t>Approval record</w:t>
            </w:r>
          </w:p>
        </w:tc>
        <w:tc>
          <w:tcPr>
            <w:tcW w:type="dxa" w:w="1728"/>
          </w:tcPr>
          <w:p>
            <w:r>
              <w:t>Engineering Lead</w:t>
            </w:r>
          </w:p>
        </w:tc>
        <w:tc>
          <w:tcPr>
            <w:tcW w:type="dxa" w:w="1728"/>
          </w:tcPr>
          <w:p>
            <w:r>
              <w:t>Published</w:t>
            </w:r>
          </w:p>
        </w:tc>
      </w:tr>
      <w:tr>
        <w:tc>
          <w:tcPr>
            <w:tcW w:type="dxa" w:w="1728"/>
          </w:tcPr>
          <w:p>
            <w:r>
              <w:t>Published</w:t>
            </w:r>
          </w:p>
        </w:tc>
        <w:tc>
          <w:tcPr>
            <w:tcW w:type="dxa" w:w="1728"/>
          </w:tcPr>
          <w:p>
            <w:r>
              <w:t>Register updated</w:t>
            </w:r>
          </w:p>
        </w:tc>
        <w:tc>
          <w:tcPr>
            <w:tcW w:type="dxa" w:w="1728"/>
          </w:tcPr>
          <w:p>
            <w:r>
              <w:t>Controlled copy</w:t>
            </w:r>
          </w:p>
        </w:tc>
        <w:tc>
          <w:tcPr>
            <w:tcW w:type="dxa" w:w="1728"/>
          </w:tcPr>
          <w:p>
            <w:r>
              <w:t>Document Owner</w:t>
            </w:r>
          </w:p>
        </w:tc>
        <w:tc>
          <w:tcPr>
            <w:tcW w:type="dxa" w:w="1728"/>
          </w:tcPr>
          <w:p>
            <w:r>
              <w:t>Maintenance</w:t>
            </w:r>
          </w:p>
        </w:tc>
      </w:tr>
      <w:tr>
        <w:tc>
          <w:tcPr>
            <w:tcW w:type="dxa" w:w="1728"/>
          </w:tcPr>
          <w:p>
            <w:r>
              <w:t>Superseded</w:t>
            </w:r>
          </w:p>
        </w:tc>
        <w:tc>
          <w:tcPr>
            <w:tcW w:type="dxa" w:w="1728"/>
          </w:tcPr>
          <w:p>
            <w:r>
              <w:t>Replacement issued</w:t>
            </w:r>
          </w:p>
        </w:tc>
        <w:tc>
          <w:tcPr>
            <w:tcW w:type="dxa" w:w="1728"/>
          </w:tcPr>
          <w:p>
            <w:r>
              <w:t>Archive record</w:t>
            </w:r>
          </w:p>
        </w:tc>
        <w:tc>
          <w:tcPr>
            <w:tcW w:type="dxa" w:w="1728"/>
          </w:tcPr>
          <w:p>
            <w:r>
              <w:t>Document Owner</w:t>
            </w:r>
          </w:p>
        </w:tc>
        <w:tc>
          <w:tcPr>
            <w:tcW w:type="dxa" w:w="1728"/>
          </w:tcPr>
          <w:p>
            <w:r>
              <w:t>Archived</w:t>
            </w:r>
          </w:p>
        </w:tc>
      </w:tr>
    </w:tbl>
    <w:p>
      <w:pPr>
        <w:pStyle w:val="Heading1"/>
      </w:pPr>
      <w:r>
        <w:t>Appendix BS – Engineering Documentation Audit Trail</w:t>
      </w:r>
    </w:p>
    <w:p>
      <w:pPr>
        <w:pStyle w:val="ListBullet"/>
      </w:pPr>
      <w:r>
        <w:t>Every edition records its publication date.</w:t>
      </w:r>
    </w:p>
    <w:p>
      <w:pPr>
        <w:pStyle w:val="ListBullet"/>
      </w:pPr>
      <w:r>
        <w:t>Every revision records the reason for change.</w:t>
      </w:r>
    </w:p>
    <w:p>
      <w:pPr>
        <w:pStyle w:val="ListBullet"/>
      </w:pPr>
      <w:r>
        <w:t>Every controlled edition references the repository baseline.</w:t>
      </w:r>
    </w:p>
    <w:p>
      <w:pPr>
        <w:pStyle w:val="ListBullet"/>
      </w:pPr>
      <w:r>
        <w:t>Every approval is attributable to an authorised reviewer.</w:t>
      </w:r>
    </w:p>
    <w:p>
      <w:pPr>
        <w:pStyle w:val="ListBullet"/>
      </w:pPr>
      <w:r>
        <w:t>Every superseded edition remains archived and immutable.</w:t>
      </w:r>
    </w:p>
    <w:p>
      <w:pPr>
        <w:pStyle w:val="Heading1"/>
      </w:pPr>
      <w:r>
        <w:t>Appendix BT – Publication Stewardship Principles</w:t>
      </w:r>
    </w:p>
    <w:p>
      <w:r>
        <w:t>Stewardship extends beyond authoring. Document owners are responsible for ensuring publications remain accurate, discoverable, reviewed on schedule and aligned with the current engineering baseline throughout their lifecycle.</w:t>
      </w:r>
    </w:p>
    <w:p>
      <w:pPr>
        <w:pStyle w:val="Heading1"/>
      </w:pPr>
      <w:r>
        <w:t>Edition 2 Milestone</w:t>
      </w:r>
    </w:p>
    <w:p>
      <w:r>
        <w:t>Part 30 completes another governance increment and reinforces lifecycle management, auditability and long-term stewardship for controlled engineering publications prior to consolidation into the Edition 2 master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