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31</w:t>
        <w:br/>
        <w:t>Timestamp: 26 July 2026, 08:30</w:t>
        <w:br/>
        <w:t>Status: Draft for Engineering Review</w:t>
      </w:r>
    </w:p>
    <w:p>
      <w:pPr>
        <w:pStyle w:val="Heading1"/>
      </w:pPr>
      <w:r>
        <w:t>Appendix BU – Engineering Knowledge Preservation</w:t>
      </w:r>
    </w:p>
    <w:p>
      <w:r>
        <w:t>Knowledge preservation ensures that design intent, operational experience, architectural decisions and implementation guidance remain accessible long after the original contributors have moved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Knowledge Asset</w:t>
            </w:r>
          </w:p>
        </w:tc>
        <w:tc>
          <w:tcPr>
            <w:tcW w:type="dxa" w:w="2160"/>
          </w:tcPr>
          <w:p>
            <w:r>
              <w:t>Primary Publication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</w:tr>
      <w:tr>
        <w:tc>
          <w:tcPr>
            <w:tcW w:type="dxa" w:w="2160"/>
          </w:tcPr>
          <w:p>
            <w:r>
              <w:t>Architecture Decisions</w:t>
            </w:r>
          </w:p>
        </w:tc>
        <w:tc>
          <w:tcPr>
            <w:tcW w:type="dxa" w:w="2160"/>
          </w:tcPr>
          <w:p>
            <w:r>
              <w:t>JD-ADR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On change</w:t>
            </w:r>
          </w:p>
        </w:tc>
      </w:tr>
      <w:tr>
        <w:tc>
          <w:tcPr>
            <w:tcW w:type="dxa" w:w="2160"/>
          </w:tcPr>
          <w:p>
            <w:r>
              <w:t>Operations Procedures</w:t>
            </w:r>
          </w:p>
        </w:tc>
        <w:tc>
          <w:tcPr>
            <w:tcW w:type="dxa" w:w="2160"/>
          </w:tcPr>
          <w:p>
            <w:r>
              <w:t>JD-EOM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</w:tr>
      <w:tr>
        <w:tc>
          <w:tcPr>
            <w:tcW w:type="dxa" w:w="2160"/>
          </w:tcPr>
          <w:p>
            <w:r>
              <w:t>Standards</w:t>
            </w:r>
          </w:p>
        </w:tc>
        <w:tc>
          <w:tcPr>
            <w:tcW w:type="dxa" w:w="2160"/>
          </w:tcPr>
          <w:p>
            <w:r>
              <w:t>JD-EDS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</w:tr>
      <w:tr>
        <w:tc>
          <w:tcPr>
            <w:tcW w:type="dxa" w:w="2160"/>
          </w:tcPr>
          <w:p>
            <w:r>
              <w:t>Validation Evidence</w:t>
            </w:r>
          </w:p>
        </w:tc>
        <w:tc>
          <w:tcPr>
            <w:tcW w:type="dxa" w:w="2160"/>
          </w:tcPr>
          <w:p>
            <w:r>
              <w:t>JD-IVL</w:t>
            </w:r>
          </w:p>
        </w:tc>
        <w:tc>
          <w:tcPr>
            <w:tcW w:type="dxa" w:w="2160"/>
          </w:tcPr>
          <w:p>
            <w:r>
              <w:t>Project lifecycle</w:t>
            </w:r>
          </w:p>
        </w:tc>
        <w:tc>
          <w:tcPr>
            <w:tcW w:type="dxa" w:w="2160"/>
          </w:tcPr>
          <w:p>
            <w:r>
              <w:t>Per release</w:t>
            </w:r>
          </w:p>
        </w:tc>
      </w:tr>
      <w:tr>
        <w:tc>
          <w:tcPr>
            <w:tcW w:type="dxa" w:w="2160"/>
          </w:tcPr>
          <w:p>
            <w:r>
              <w:t>Recovery Procedures</w:t>
            </w:r>
          </w:p>
        </w:tc>
        <w:tc>
          <w:tcPr>
            <w:tcW w:type="dxa" w:w="2160"/>
          </w:tcPr>
          <w:p>
            <w:r>
              <w:t>JD-ERP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  <w:tc>
          <w:tcPr>
            <w:tcW w:type="dxa" w:w="2160"/>
          </w:tcPr>
          <w:p>
            <w:r>
              <w:t>Six-monthly</w:t>
            </w:r>
          </w:p>
        </w:tc>
      </w:tr>
    </w:tbl>
    <w:p>
      <w:pPr>
        <w:pStyle w:val="Heading1"/>
      </w:pPr>
      <w:r>
        <w:t>Appendix BV – Engineering Knowledge Review</w:t>
      </w:r>
    </w:p>
    <w:p>
      <w:pPr>
        <w:pStyle w:val="ListBullet"/>
      </w:pPr>
      <w:r>
        <w:t>Identify obsolete content.</w:t>
      </w:r>
    </w:p>
    <w:p>
      <w:pPr>
        <w:pStyle w:val="ListBullet"/>
      </w:pPr>
      <w:r>
        <w:t>Capture new engineering practices.</w:t>
      </w:r>
    </w:p>
    <w:p>
      <w:pPr>
        <w:pStyle w:val="ListBullet"/>
      </w:pPr>
      <w:r>
        <w:t>Confirm document ownership.</w:t>
      </w:r>
    </w:p>
    <w:p>
      <w:pPr>
        <w:pStyle w:val="ListBullet"/>
      </w:pPr>
      <w:r>
        <w:t>Validate references to related publications.</w:t>
      </w:r>
    </w:p>
    <w:p>
      <w:pPr>
        <w:pStyle w:val="ListBullet"/>
      </w:pPr>
      <w:r>
        <w:t>Record review outcomes in the document register.</w:t>
      </w:r>
    </w:p>
    <w:p>
      <w:pPr>
        <w:pStyle w:val="Heading1"/>
      </w:pPr>
      <w:r>
        <w:t>Appendix BW – Long-Term Engineering Vision</w:t>
      </w:r>
    </w:p>
    <w:p>
      <w:r>
        <w:t>The documentation library should evolve into a complete engineering knowledge base covering standards, architecture, operations, validation, recovery, release management and historical records under a unified governance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