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r>
        <w:t>Edition 2 – Part 4</w:t>
        <w:br/>
        <w:t>Timestamp: 26 July 2026, 08:30</w:t>
        <w:br/>
        <w:t>Status: Draft for Engineering Review</w:t>
      </w:r>
    </w:p>
    <w:p>
      <w:pPr>
        <w:pStyle w:val="Heading1"/>
      </w:pPr>
      <w:r>
        <w:t>Engineering Knowledge Management</w:t>
      </w:r>
    </w:p>
    <w:p>
      <w:r>
        <w:t>Engineering knowledge is a strategic asset. Every subsystem shall have sufficient documentation to allow a competent engineer to understand its purpose, interfaces, ownership, dependencies and recovery procedures without relying on undocumented assumptions.</w:t>
      </w:r>
    </w:p>
    <w:p>
      <w:pPr>
        <w:pStyle w:val="ListBullet"/>
      </w:pPr>
      <w:r>
        <w:t>Capture architectural intent before implementation diverges.</w:t>
      </w:r>
    </w:p>
    <w:p>
      <w:pPr>
        <w:pStyle w:val="ListBullet"/>
      </w:pPr>
      <w:r>
        <w:t>Update documentation as part of every engineering change.</w:t>
      </w:r>
    </w:p>
    <w:p>
      <w:pPr>
        <w:pStyle w:val="ListBullet"/>
      </w:pPr>
      <w:r>
        <w:t>Record assumptions, constraints and operational limits.</w:t>
      </w:r>
    </w:p>
    <w:p>
      <w:pPr>
        <w:pStyle w:val="ListBullet"/>
      </w:pPr>
      <w:r>
        <w:t>Retain historical revisions for audit and recovery.</w:t>
      </w:r>
    </w:p>
    <w:p>
      <w:pPr>
        <w:pStyle w:val="Heading1"/>
      </w:pPr>
      <w:r>
        <w:t>Documentation Review Schedule</w:t>
      </w:r>
    </w:p>
    <w:p>
      <w:r>
        <w:t>Controlled publications require periodic review.</w:t>
      </w:r>
    </w:p>
    <w:p>
      <w:pPr>
        <w:pStyle w:val="ListBullet"/>
      </w:pPr>
      <w:r>
        <w:t>Major architecture change – immediate review.</w:t>
      </w:r>
    </w:p>
    <w:p>
      <w:pPr>
        <w:pStyle w:val="ListBullet"/>
      </w:pPr>
      <w:r>
        <w:t>Minor feature release – assess impacted publications.</w:t>
      </w:r>
    </w:p>
    <w:p>
      <w:pPr>
        <w:pStyle w:val="ListBullet"/>
      </w:pPr>
      <w:r>
        <w:t>Quarterly engineering review – verify accuracy.</w:t>
      </w:r>
    </w:p>
    <w:p>
      <w:pPr>
        <w:pStyle w:val="ListBullet"/>
      </w:pPr>
      <w:r>
        <w:t>Annual governance review – confirm standards remain fit for purpose.</w:t>
      </w:r>
    </w:p>
    <w:p>
      <w:pPr>
        <w:pStyle w:val="Heading1"/>
      </w:pPr>
      <w:r>
        <w:t>Engineering Publication Quality Model</w:t>
      </w:r>
    </w:p>
    <w:p>
      <w:r>
        <w:t>Every publication should be assessed against measurable quality attributes.</w:t>
      </w:r>
    </w:p>
    <w:p>
      <w:pPr>
        <w:pStyle w:val="ListBullet"/>
      </w:pPr>
      <w:r>
        <w:t>Completeness</w:t>
      </w:r>
    </w:p>
    <w:p>
      <w:pPr>
        <w:pStyle w:val="ListBullet"/>
      </w:pPr>
      <w:r>
        <w:t>Accuracy</w:t>
      </w:r>
    </w:p>
    <w:p>
      <w:pPr>
        <w:pStyle w:val="ListBullet"/>
      </w:pPr>
      <w:r>
        <w:t>Consistency</w:t>
      </w:r>
    </w:p>
    <w:p>
      <w:pPr>
        <w:pStyle w:val="ListBullet"/>
      </w:pPr>
      <w:r>
        <w:t>Traceability</w:t>
      </w:r>
    </w:p>
    <w:p>
      <w:pPr>
        <w:pStyle w:val="ListBullet"/>
      </w:pPr>
      <w:r>
        <w:t>Recoverability</w:t>
      </w:r>
    </w:p>
    <w:p>
      <w:pPr>
        <w:pStyle w:val="ListBullet"/>
      </w:pPr>
      <w:r>
        <w:t>Maintainability</w:t>
      </w:r>
    </w:p>
    <w:p>
      <w:pPr>
        <w:pStyle w:val="ListBullet"/>
      </w:pPr>
      <w:r>
        <w:t>Readability</w:t>
      </w:r>
    </w:p>
    <w:p>
      <w:pPr>
        <w:pStyle w:val="ListBullet"/>
      </w:pPr>
      <w:r>
        <w:t>Governance Compliance</w:t>
      </w:r>
    </w:p>
    <w:p>
      <w:pPr>
        <w:pStyle w:val="Heading1"/>
      </w:pPr>
      <w:r>
        <w:t>Standard Engineering Artefacts</w:t>
      </w:r>
    </w:p>
    <w:p>
      <w:r>
        <w:t>The documentation library should contain a complete set of controlled artefacts.</w:t>
      </w:r>
    </w:p>
    <w:p>
      <w:pPr>
        <w:pStyle w:val="ListBullet"/>
      </w:pPr>
      <w:r>
        <w:t>Engineering Standards</w:t>
      </w:r>
    </w:p>
    <w:p>
      <w:pPr>
        <w:pStyle w:val="ListBullet"/>
      </w:pPr>
      <w:r>
        <w:t>Operations Manuals</w:t>
      </w:r>
    </w:p>
    <w:p>
      <w:pPr>
        <w:pStyle w:val="ListBullet"/>
      </w:pPr>
      <w:r>
        <w:t>Architecture Guides</w:t>
      </w:r>
    </w:p>
    <w:p>
      <w:pPr>
        <w:pStyle w:val="ListBullet"/>
      </w:pPr>
      <w:r>
        <w:t>Deployment Guides</w:t>
      </w:r>
    </w:p>
    <w:p>
      <w:pPr>
        <w:pStyle w:val="ListBullet"/>
      </w:pPr>
      <w:r>
        <w:t>Recovery Packages</w:t>
      </w:r>
    </w:p>
    <w:p>
      <w:pPr>
        <w:pStyle w:val="ListBullet"/>
      </w:pPr>
      <w:r>
        <w:t>Validation Reports</w:t>
      </w:r>
    </w:p>
    <w:p>
      <w:pPr>
        <w:pStyle w:val="ListBullet"/>
      </w:pPr>
      <w:r>
        <w:t>Troubleshooting Handbooks</w:t>
      </w:r>
    </w:p>
    <w:p>
      <w:pPr>
        <w:pStyle w:val="ListBullet"/>
      </w:pPr>
      <w:r>
        <w:t>Architecture Decision Records</w:t>
      </w:r>
    </w:p>
    <w:p>
      <w:pPr>
        <w:pStyle w:val="ListBullet"/>
      </w:pPr>
      <w:r>
        <w:t>Release Notes</w:t>
      </w:r>
    </w:p>
    <w:p>
      <w:pPr>
        <w:pStyle w:val="Heading1"/>
      </w:pPr>
      <w:r>
        <w:t>Edition 2 Roadmap</w:t>
      </w:r>
    </w:p>
    <w:p>
      <w:r>
        <w:t>Edition 2 will conclude with reusable document templates, approval forms, glossary, index and publication examples before being consolidated into a single controlled engineering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