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6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 – Standard Engineering Publication Structure</w:t>
      </w:r>
    </w:p>
    <w:p>
      <w:pPr>
        <w:pStyle w:val="ListBullet"/>
      </w:pPr>
      <w:r>
        <w:t>Cover Page</w:t>
      </w:r>
    </w:p>
    <w:p>
      <w:pPr>
        <w:pStyle w:val="ListBullet"/>
      </w:pPr>
      <w:r>
        <w:t>Document Control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Purpose and Scope</w:t>
      </w:r>
    </w:p>
    <w:p>
      <w:pPr>
        <w:pStyle w:val="ListBullet"/>
      </w:pPr>
      <w:r>
        <w:t>Architecture or Operational Content</w:t>
      </w:r>
    </w:p>
    <w:p>
      <w:pPr>
        <w:pStyle w:val="ListBullet"/>
      </w:pPr>
      <w:r>
        <w:t>Engineering Notes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Index</w:t>
      </w:r>
    </w:p>
    <w:p>
      <w:pPr>
        <w:pStyle w:val="Heading1"/>
      </w:pPr>
      <w:r>
        <w:t>Appendix B – Controlled Publication Checklist</w:t>
      </w:r>
    </w:p>
    <w:p>
      <w:r>
        <w:t>☐ Unique document number allocated</w:t>
      </w:r>
    </w:p>
    <w:p>
      <w:r>
        <w:t>☐ Semantic version assigned</w:t>
      </w:r>
    </w:p>
    <w:p>
      <w:r>
        <w:t>☐ Repository baseline recorded</w:t>
      </w:r>
    </w:p>
    <w:p>
      <w:r>
        <w:t>☐ Technical review completed</w:t>
      </w:r>
    </w:p>
    <w:p>
      <w:r>
        <w:t>☐ Approval recorded</w:t>
      </w:r>
    </w:p>
    <w:p>
      <w:r>
        <w:t>☐ Cross references validated</w:t>
      </w:r>
    </w:p>
    <w:p>
      <w:r>
        <w:t>☐ Revision history updated</w:t>
      </w:r>
    </w:p>
    <w:p>
      <w:r>
        <w:t>☐ Distribution classification confirmed</w:t>
      </w:r>
    </w:p>
    <w:p>
      <w:r>
        <w:t>☐ Glossary reviewed</w:t>
      </w:r>
    </w:p>
    <w:p>
      <w:r>
        <w:t>☐ Archive location identified</w:t>
      </w:r>
    </w:p>
    <w:p>
      <w:pPr>
        <w:pStyle w:val="Heading1"/>
      </w:pPr>
      <w:r>
        <w:t>Appendix C – Publication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Identifier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JD-EDS</w:t>
            </w:r>
          </w:p>
        </w:tc>
        <w:tc>
          <w:tcPr>
            <w:tcW w:type="dxa" w:w="4320"/>
          </w:tcPr>
          <w:p>
            <w:r>
              <w:t>Engineering Documentation Standards</w:t>
            </w:r>
          </w:p>
        </w:tc>
      </w:tr>
      <w:tr>
        <w:tc>
          <w:tcPr>
            <w:tcW w:type="dxa" w:w="4320"/>
          </w:tcPr>
          <w:p>
            <w:r>
              <w:t>JD-EOM</w:t>
            </w:r>
          </w:p>
        </w:tc>
        <w:tc>
          <w:tcPr>
            <w:tcW w:type="dxa" w:w="4320"/>
          </w:tcPr>
          <w:p>
            <w:r>
              <w:t>Engineering Operations Manuals</w:t>
            </w:r>
          </w:p>
        </w:tc>
      </w:tr>
      <w:tr>
        <w:tc>
          <w:tcPr>
            <w:tcW w:type="dxa" w:w="4320"/>
          </w:tcPr>
          <w:p>
            <w:r>
              <w:t>JD-ERP</w:t>
            </w:r>
          </w:p>
        </w:tc>
        <w:tc>
          <w:tcPr>
            <w:tcW w:type="dxa" w:w="4320"/>
          </w:tcPr>
          <w:p>
            <w:r>
              <w:t>Engineering Recovery Packages</w:t>
            </w:r>
          </w:p>
        </w:tc>
      </w:tr>
      <w:tr>
        <w:tc>
          <w:tcPr>
            <w:tcW w:type="dxa" w:w="4320"/>
          </w:tcPr>
          <w:p>
            <w:r>
              <w:t>JD-IVL</w:t>
            </w:r>
          </w:p>
        </w:tc>
        <w:tc>
          <w:tcPr>
            <w:tcW w:type="dxa" w:w="4320"/>
          </w:tcPr>
          <w:p>
            <w:r>
              <w:t>Implementation Validation Logs</w:t>
            </w:r>
          </w:p>
        </w:tc>
      </w:tr>
      <w:tr>
        <w:tc>
          <w:tcPr>
            <w:tcW w:type="dxa" w:w="4320"/>
          </w:tcPr>
          <w:p>
            <w:r>
              <w:t>JD-ADR</w:t>
            </w:r>
          </w:p>
        </w:tc>
        <w:tc>
          <w:tcPr>
            <w:tcW w:type="dxa" w:w="4320"/>
          </w:tcPr>
          <w:p>
            <w:r>
              <w:t>Architecture Decision Records</w:t>
            </w:r>
          </w:p>
        </w:tc>
      </w:tr>
      <w:tr>
        <w:tc>
          <w:tcPr>
            <w:tcW w:type="dxa" w:w="4320"/>
          </w:tcPr>
          <w:p>
            <w:r>
              <w:t>JD-WP</w:t>
            </w:r>
          </w:p>
        </w:tc>
        <w:tc>
          <w:tcPr>
            <w:tcW w:type="dxa" w:w="4320"/>
          </w:tcPr>
          <w:p>
            <w:r>
              <w:t>Engineering Work Packages</w:t>
            </w:r>
          </w:p>
        </w:tc>
      </w:tr>
      <w:tr>
        <w:tc>
          <w:tcPr>
            <w:tcW w:type="dxa" w:w="4320"/>
          </w:tcPr>
          <w:p>
            <w:r>
              <w:t>JD-VR</w:t>
            </w:r>
          </w:p>
        </w:tc>
        <w:tc>
          <w:tcPr>
            <w:tcW w:type="dxa" w:w="4320"/>
          </w:tcPr>
          <w:p>
            <w:r>
              <w:t>Validation Reports</w:t>
            </w:r>
          </w:p>
        </w:tc>
      </w:tr>
      <w:tr>
        <w:tc>
          <w:tcPr>
            <w:tcW w:type="dxa" w:w="4320"/>
          </w:tcPr>
          <w:p>
            <w:r>
              <w:t>JD-RN</w:t>
            </w:r>
          </w:p>
        </w:tc>
        <w:tc>
          <w:tcPr>
            <w:tcW w:type="dxa" w:w="4320"/>
          </w:tcPr>
          <w:p>
            <w:r>
              <w:t>Release Notes</w:t>
            </w:r>
          </w:p>
        </w:tc>
      </w:tr>
      <w:tr>
        <w:tc>
          <w:tcPr>
            <w:tcW w:type="dxa" w:w="4320"/>
          </w:tcPr>
          <w:p>
            <w:r>
              <w:t>JD-TRB</w:t>
            </w:r>
          </w:p>
        </w:tc>
        <w:tc>
          <w:tcPr>
            <w:tcW w:type="dxa" w:w="4320"/>
          </w:tcPr>
          <w:p>
            <w:r>
              <w:t>Troubleshooting Guides</w:t>
            </w:r>
          </w:p>
        </w:tc>
      </w:tr>
    </w:tbl>
    <w:p>
      <w:pPr>
        <w:pStyle w:val="Heading1"/>
      </w:pPr>
      <w:r>
        <w:t>Closing Statement</w:t>
      </w:r>
    </w:p>
    <w:p>
      <w:r>
        <w:t>The objective of JD-EDS-001 is to establish a durable engineering knowledge system that preserves architectural intent, operational knowledge and implementation history through controlled publications maintained alongside the JustDefenders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