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Document Number: JD-EDS-001</w:t>
        <w:br/>
        <w:t>Version: 1.0.0 (Edition 1 – Section 3)</w:t>
        <w:br/>
        <w:t>Status: Draft – Engineering Review</w:t>
        <w:br/>
        <w:t>Timestamp: 26 July 2026, 08:30</w:t>
      </w:r>
    </w:p>
    <w:p>
      <w:pPr>
        <w:pStyle w:val="Heading1"/>
      </w:pPr>
      <w:r>
        <w:t>13. Engineering Review Process</w:t>
      </w:r>
    </w:p>
    <w:p>
      <w:r>
        <w:t>All engineering publications shall undergo structured peer review before approval.</w:t>
        <w:br/>
        <w:br/>
        <w:t>The review shall verify:</w:t>
        <w:br/>
        <w:t>• Technical correctness</w:t>
        <w:br/>
        <w:t>• Architectural consistency</w:t>
        <w:br/>
        <w:t>• Compliance with engineering standards</w:t>
        <w:br/>
        <w:t>• Repository references</w:t>
        <w:br/>
        <w:t>• Cross-document consistency</w:t>
        <w:br/>
        <w:t>• Clarity for future engineers</w:t>
        <w:br/>
        <w:br/>
        <w:t>Review comments shall be resolved before publication.</w:t>
      </w:r>
    </w:p>
    <w:p>
      <w:pPr>
        <w:pStyle w:val="Heading1"/>
      </w:pPr>
      <w:r>
        <w:t>14. Approval Governance</w:t>
      </w:r>
    </w:p>
    <w:p>
      <w:r>
        <w:t>Controlled publications require formal approval.</w:t>
        <w:br/>
        <w:br/>
        <w:t>Minimum approval roles:</w:t>
        <w:br/>
        <w:t>• Author</w:t>
        <w:br/>
        <w:t>• Technical Reviewer</w:t>
        <w:br/>
        <w:t>• Engineering Approver</w:t>
        <w:br/>
        <w:br/>
        <w:t>Approval confirms the publication is suitable for engineering use and accurately reflects the implementation baseline.</w:t>
      </w:r>
    </w:p>
    <w:p>
      <w:pPr>
        <w:pStyle w:val="Heading1"/>
      </w:pPr>
      <w:r>
        <w:t>15. Traceability Matrix</w:t>
      </w:r>
    </w:p>
    <w:p>
      <w:r>
        <w:t>Every major publication shall maintain traceability to:</w:t>
        <w:br/>
        <w:t>• Engineering Work Packages</w:t>
        <w:br/>
        <w:t>• Git Commits</w:t>
        <w:br/>
        <w:t>• Repository Tags</w:t>
        <w:br/>
        <w:t>• Validation Reports</w:t>
        <w:br/>
        <w:t>• Architecture Decision Records</w:t>
        <w:br/>
        <w:t>• Related Engineering Publications</w:t>
        <w:br/>
        <w:br/>
        <w:t>Traceability enables rapid impact analysis when changes occur.</w:t>
      </w:r>
    </w:p>
    <w:p>
      <w:pPr>
        <w:pStyle w:val="Heading1"/>
      </w:pPr>
      <w:r>
        <w:t>16. Engineering Terminology</w:t>
      </w:r>
    </w:p>
    <w:p>
      <w:r>
        <w:t>Terminology shall remain consistent across all publications.</w:t>
        <w:br/>
        <w:br/>
        <w:t>Each defined engineering term shall have one preferred meaning.</w:t>
        <w:br/>
        <w:br/>
        <w:t>Alternative wording should be avoided where it introduces ambiguity.</w:t>
      </w:r>
    </w:p>
    <w:p>
      <w:pPr>
        <w:pStyle w:val="Heading1"/>
      </w:pPr>
      <w:r>
        <w:t>17. Diagrams and Figures</w:t>
      </w:r>
    </w:p>
    <w:p>
      <w:r>
        <w:t>Architecture diagrams, runtime flows, sequence diagrams and ownership diagrams are controlled engineering artefacts.</w:t>
        <w:br/>
        <w:br/>
        <w:t>Each figure shall have:</w:t>
        <w:br/>
        <w:t>• Figure number</w:t>
        <w:br/>
        <w:t>• Title</w:t>
        <w:br/>
        <w:t>• Revision compatibility</w:t>
        <w:br/>
        <w:t>• Source reference where applicable.</w:t>
      </w:r>
    </w:p>
    <w:p>
      <w:pPr>
        <w:pStyle w:val="Heading1"/>
      </w:pPr>
      <w:r>
        <w:t>18. Engineering Records Retention</w:t>
      </w:r>
    </w:p>
    <w:p>
      <w:r>
        <w:t>Superseded publications shall not be deleted.</w:t>
        <w:br/>
        <w:br/>
        <w:t>Historical editions shall be archived to preserve engineering history and support future investigations, audits and recovery activities.</w:t>
      </w:r>
    </w:p>
    <w:p>
      <w:pPr>
        <w:pStyle w:val="Heading1"/>
      </w:pPr>
      <w:r>
        <w:t>Engineering Note</w:t>
      </w:r>
    </w:p>
    <w:p>
      <w:r>
        <w:t>No engineer should have to reverse-engineer the platform simply to maintain it. Engineering documentation exists to preserve architectural intent, operational knowledge and implementation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