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Document Number: JD-EDS-001</w:t>
        <w:br/>
        <w:t>Version: 1.0.0 (Edition 1 – Section 5)</w:t>
        <w:br/>
        <w:t>Status: Draft – Engineering Review</w:t>
        <w:br/>
        <w:t>Timestamp: 26 July 2026, 08:30</w:t>
      </w:r>
    </w:p>
    <w:p>
      <w:pPr>
        <w:pStyle w:val="Heading1"/>
      </w:pPr>
      <w:r>
        <w:t>25. Standard Document Control Page</w:t>
      </w:r>
    </w:p>
    <w:p>
      <w:r>
        <w:t>Every controlled publication shall begin with a document control page containing:</w:t>
        <w:br/>
        <w:t>• Document Number</w:t>
        <w:br/>
        <w:t>• Title</w:t>
        <w:br/>
        <w:t>• Version</w:t>
        <w:br/>
        <w:t>• Status</w:t>
        <w:br/>
        <w:t>• Classification</w:t>
        <w:br/>
        <w:t>• Author</w:t>
        <w:br/>
        <w:t>• Technical Reviewer</w:t>
        <w:br/>
        <w:t>• Engineering Approver</w:t>
        <w:br/>
        <w:t>• Repository</w:t>
        <w:br/>
        <w:t>• Branch</w:t>
        <w:br/>
        <w:t>• Commit Reference</w:t>
        <w:br/>
        <w:t>• Publication Date</w:t>
        <w:br/>
        <w:t>• Review Due Date</w:t>
      </w:r>
    </w:p>
    <w:p>
      <w:pPr>
        <w:pStyle w:val="Heading1"/>
      </w:pPr>
      <w:r>
        <w:t>26. Revision History</w:t>
      </w:r>
    </w:p>
    <w:p>
      <w:r>
        <w:t>A revision table shall record every published change.</w:t>
        <w:br/>
        <w:br/>
        <w:t>Minimum columns:</w:t>
        <w:br/>
        <w:t>Revision | Date | Author | Reviewer | Description of Change | Approval Status</w:t>
        <w:br/>
        <w:br/>
        <w:t>Revision history shall never be removed from controlled publications.</w:t>
      </w:r>
    </w:p>
    <w:p>
      <w:pPr>
        <w:pStyle w:val="Heading1"/>
      </w:pPr>
      <w:r>
        <w:t>27. Repository Baseline Record</w:t>
      </w:r>
    </w:p>
    <w:p>
      <w:r>
        <w:t>The repository baseline identifies the precise software state represented by the publication.</w:t>
        <w:br/>
        <w:br/>
        <w:t>Recommended fields:</w:t>
        <w:br/>
        <w:t>Repository URL</w:t>
        <w:br/>
        <w:t>Repository Name</w:t>
        <w:br/>
        <w:t>Branch</w:t>
        <w:br/>
        <w:t>Commit Hash</w:t>
        <w:br/>
        <w:t>Reference Tag</w:t>
        <w:br/>
        <w:t>Engineering Baseline</w:t>
        <w:br/>
        <w:t>Build Identifier</w:t>
        <w:br/>
        <w:t>Publication Identifier</w:t>
      </w:r>
    </w:p>
    <w:p>
      <w:pPr>
        <w:pStyle w:val="Heading1"/>
      </w:pPr>
      <w:r>
        <w:t>28. Engineering Notes</w:t>
      </w:r>
    </w:p>
    <w:p>
      <w:r>
        <w:t>Standard callouts improve readability.</w:t>
        <w:br/>
        <w:br/>
        <w:t>Engineering Note:</w:t>
        <w:br/>
        <w:t>Additional technical guidance.</w:t>
        <w:br/>
        <w:br/>
        <w:t>Engineering Warning:</w:t>
        <w:br/>
        <w:t>Potential engineering risk.</w:t>
        <w:br/>
        <w:br/>
        <w:t>Engineering Decision:</w:t>
        <w:br/>
        <w:t>Reasoning behind architectural choices.</w:t>
        <w:br/>
        <w:br/>
        <w:t>Engineering Reference:</w:t>
        <w:br/>
        <w:t>Links to related controlled publications.</w:t>
      </w:r>
    </w:p>
    <w:p>
      <w:pPr>
        <w:pStyle w:val="Heading1"/>
      </w:pPr>
      <w:r>
        <w:t>29. Architecture Documentation Conventions</w:t>
      </w:r>
    </w:p>
    <w:p>
      <w:r>
        <w:t>Architecture documents should distinguish:</w:t>
        <w:br/>
        <w:t>• Logical Architecture</w:t>
        <w:br/>
        <w:t>• Physical Architecture</w:t>
        <w:br/>
        <w:t>• Runtime Architecture</w:t>
        <w:br/>
        <w:t>• Deployment Architecture</w:t>
        <w:br/>
        <w:t>• Data Architecture</w:t>
        <w:br/>
        <w:t>• Integration Architecture</w:t>
        <w:br/>
        <w:br/>
        <w:t>Each architecture view should clearly identify ownership boundaries.</w:t>
      </w:r>
    </w:p>
    <w:p>
      <w:pPr>
        <w:pStyle w:val="Heading1"/>
      </w:pPr>
      <w:r>
        <w:t>30. Publication Distribution</w:t>
      </w:r>
    </w:p>
    <w:p>
      <w:r>
        <w:t>Controlled engineering publications should identify their intended audience.</w:t>
        <w:br/>
        <w:br/>
        <w:t>Suggested classifications:</w:t>
        <w:br/>
        <w:t>Public</w:t>
        <w:br/>
        <w:t>Internal</w:t>
        <w:br/>
        <w:t>Engineering</w:t>
        <w:br/>
        <w:t>Restricted Engineering</w:t>
        <w:br/>
        <w:t>Confidential</w:t>
        <w:br/>
        <w:br/>
        <w:t>Distribution classification assists governance without changing document numbering.</w:t>
      </w:r>
    </w:p>
    <w:p>
      <w:pPr>
        <w:pStyle w:val="Heading1"/>
      </w:pPr>
      <w:r>
        <w:t>End of Edition 1 – Section 5</w:t>
      </w:r>
    </w:p>
    <w:p>
      <w:r>
        <w:t>Subsequent editions will introduce reusable publication templates and engineering examples derived from the JustDefenders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