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JD-EL-001</w:t>
        <w:br/>
        <w:t>Engineering Library Register</w:t>
        <w:br/>
        <w:br/>
      </w:r>
    </w:p>
    <w:p>
      <w:r>
        <w:t>Foundation Edition</w:t>
        <w:br/>
        <w:t>Controlled Issue 1</w:t>
        <w:br/>
        <w:t>Status: Active</w:t>
        <w:br/>
      </w:r>
    </w:p>
    <w:p>
      <w:pPr>
        <w:pStyle w:val="Heading1"/>
      </w:pPr>
      <w:r>
        <w:t>Publication Control</w:t>
      </w:r>
    </w:p>
    <w:p>
      <w:r>
        <w:t>Publication: JD-EL-001 Engineering Library Register</w:t>
        <w:br/>
        <w:t>Series: JustDefenders® Engineering Library</w:t>
        <w:br/>
        <w:t>Issue: Controlled Issue 1</w:t>
        <w:br/>
        <w:t>Edition: Foundation Edition</w:t>
        <w:br/>
        <w:t>Classification: Controlled Publication</w:t>
        <w:br/>
        <w:t>Owner: JustDefenders Engineering Governance</w:t>
        <w:br/>
        <w:t>Authority: Engineering Governance Framework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Authorisation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Initial 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No amendments. Initial controlled publication.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Chapter 1 – Engineering Library Governance</w:t>
      </w:r>
    </w:p>
    <w:p>
      <w:pPr>
        <w:pStyle w:val="ListBullet"/>
      </w:pPr>
      <w:r>
        <w:t>Chapter 2 – Publication Register</w:t>
      </w:r>
    </w:p>
    <w:p>
      <w:pPr>
        <w:pStyle w:val="ListBullet"/>
      </w:pPr>
      <w:r>
        <w:t>Chapter 3 – Publication Numbering</w:t>
      </w:r>
    </w:p>
    <w:p>
      <w:pPr>
        <w:pStyle w:val="ListBullet"/>
      </w:pPr>
      <w:r>
        <w:t>Chapter 4 – Publication Ownership</w:t>
      </w:r>
    </w:p>
    <w:p>
      <w:pPr>
        <w:pStyle w:val="ListBullet"/>
      </w:pPr>
      <w:r>
        <w:t>Chapter 5 – Publication Lifecycle</w:t>
      </w:r>
    </w:p>
    <w:p>
      <w:pPr>
        <w:pStyle w:val="ListBullet"/>
      </w:pPr>
      <w:r>
        <w:t>Chapter 6 – Configuration Control</w:t>
      </w:r>
    </w:p>
    <w:p>
      <w:pPr>
        <w:pStyle w:val="ListBullet"/>
      </w:pPr>
      <w:r>
        <w:t>Appendix A – Library Hierarchy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The JustDefenders® Engineering Library preserves the engineering doctrine established during platform recovery. Documentation is treated as an engineering asset and forms part of the operational baseline.</w:t>
      </w:r>
    </w:p>
    <w:p>
      <w:pPr>
        <w:pStyle w:val="Heading1"/>
      </w:pPr>
      <w:r>
        <w:t>Purpose</w:t>
      </w:r>
    </w:p>
    <w:p>
      <w:r>
        <w:t>This publication defines the Engineering Library, establishes its governance, and provides the authoritative register for all controlled engineering publications.</w:t>
      </w:r>
    </w:p>
    <w:p>
      <w:pPr>
        <w:pStyle w:val="Heading1"/>
      </w:pPr>
      <w:r>
        <w:t>Scope</w:t>
      </w:r>
    </w:p>
    <w:p>
      <w:r>
        <w:t>Applies to all engineering publications governing design, implementation, recovery, validation, maintenance and operational management of the JustDefenders Platform.</w:t>
      </w:r>
    </w:p>
    <w:p>
      <w:pPr>
        <w:pStyle w:val="Heading1"/>
      </w:pPr>
      <w:r>
        <w:t>Authority</w:t>
      </w:r>
    </w:p>
    <w:p>
      <w:r>
        <w:t>This publication is the entry point for the Engineering Library and governs publication identity, ownership, lifecycle and relationships.</w:t>
      </w:r>
    </w:p>
    <w:p>
      <w:pPr>
        <w:pStyle w:val="Heading1"/>
      </w:pPr>
      <w:r>
        <w:t>Relationship to Other Publications</w:t>
      </w:r>
    </w:p>
    <w:p>
      <w:r>
        <w:t>JD-EL-001 governs the library. All subsequent publications shall reference this document as the parent publication.</w:t>
      </w:r>
    </w:p>
    <w:p>
      <w:pPr>
        <w:pStyle w:val="Heading1"/>
      </w:pPr>
      <w:r>
        <w:t>Chapter 1 – Engineering Library Governance</w:t>
      </w:r>
    </w:p>
    <w:p>
      <w:r>
        <w:t>The Engineering Library is the single source of truth for engineering doctrine. Controlled evolution, recovery by design, engineering knowledge preservation and configuration control are mandatory governance principles.</w:t>
      </w:r>
    </w:p>
    <w:p>
      <w:pPr>
        <w:pStyle w:val="Heading1"/>
      </w:pPr>
      <w:r>
        <w:t>Chapter 2 – Publication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Publication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Engineering Library Register</w:t>
            </w:r>
          </w:p>
        </w:tc>
        <w:tc>
          <w:tcPr>
            <w:tcW w:type="dxa" w:w="2880"/>
          </w:tcPr>
          <w:p>
            <w:r>
              <w:t>JD-EL-001</w:t>
            </w:r>
          </w:p>
        </w:tc>
        <w:tc>
          <w:tcPr>
            <w:tcW w:type="dxa" w:w="2880"/>
          </w:tcPr>
          <w:p>
            <w:r>
              <w:t>Defines the library</w:t>
            </w:r>
          </w:p>
        </w:tc>
      </w:tr>
      <w:tr>
        <w:tc>
          <w:tcPr>
            <w:tcW w:type="dxa" w:w="2880"/>
          </w:tcPr>
          <w:p>
            <w:r>
              <w:t>Engineering Documentation Standard</w:t>
            </w:r>
          </w:p>
        </w:tc>
        <w:tc>
          <w:tcPr>
            <w:tcW w:type="dxa" w:w="2880"/>
          </w:tcPr>
          <w:p>
            <w:r>
              <w:t>JD-EDS-001</w:t>
            </w:r>
          </w:p>
        </w:tc>
        <w:tc>
          <w:tcPr>
            <w:tcW w:type="dxa" w:w="2880"/>
          </w:tcPr>
          <w:p>
            <w:r>
              <w:t>Documentation standard</w:t>
            </w:r>
          </w:p>
        </w:tc>
      </w:tr>
      <w:tr>
        <w:tc>
          <w:tcPr>
            <w:tcW w:type="dxa" w:w="2880"/>
          </w:tcPr>
          <w:p>
            <w:r>
              <w:t>Engineering Operations Manual</w:t>
            </w:r>
          </w:p>
        </w:tc>
        <w:tc>
          <w:tcPr>
            <w:tcW w:type="dxa" w:w="2880"/>
          </w:tcPr>
          <w:p>
            <w:r>
              <w:t>JD-EOM-001</w:t>
            </w:r>
          </w:p>
        </w:tc>
        <w:tc>
          <w:tcPr>
            <w:tcW w:type="dxa" w:w="2880"/>
          </w:tcPr>
          <w:p>
            <w:r>
              <w:t>Operational practice</w:t>
            </w:r>
          </w:p>
        </w:tc>
      </w:tr>
      <w:tr>
        <w:tc>
          <w:tcPr>
            <w:tcW w:type="dxa" w:w="2880"/>
          </w:tcPr>
          <w:p>
            <w:r>
              <w:t>Platform Architecture</w:t>
            </w:r>
          </w:p>
        </w:tc>
        <w:tc>
          <w:tcPr>
            <w:tcW w:type="dxa" w:w="2880"/>
          </w:tcPr>
          <w:p>
            <w:r>
              <w:t>JD-ADR-001</w:t>
            </w:r>
          </w:p>
        </w:tc>
        <w:tc>
          <w:tcPr>
            <w:tcW w:type="dxa" w:w="2880"/>
          </w:tcPr>
          <w:p>
            <w:r>
              <w:t>Architecture authority</w:t>
            </w:r>
          </w:p>
        </w:tc>
      </w:tr>
      <w:tr>
        <w:tc>
          <w:tcPr>
            <w:tcW w:type="dxa" w:w="2880"/>
          </w:tcPr>
          <w:p>
            <w:r>
              <w:t>Engineering Recovery Procedures</w:t>
            </w:r>
          </w:p>
        </w:tc>
        <w:tc>
          <w:tcPr>
            <w:tcW w:type="dxa" w:w="2880"/>
          </w:tcPr>
          <w:p>
            <w:r>
              <w:t>JD-ERP-001</w:t>
            </w:r>
          </w:p>
        </w:tc>
        <w:tc>
          <w:tcPr>
            <w:tcW w:type="dxa" w:w="2880"/>
          </w:tcPr>
          <w:p>
            <w:r>
              <w:t>Recovery doctrine</w:t>
            </w:r>
          </w:p>
        </w:tc>
      </w:tr>
      <w:tr>
        <w:tc>
          <w:tcPr>
            <w:tcW w:type="dxa" w:w="2880"/>
          </w:tcPr>
          <w:p>
            <w:r>
              <w:t>Inspection, Validation and Acceptance</w:t>
            </w:r>
          </w:p>
        </w:tc>
        <w:tc>
          <w:tcPr>
            <w:tcW w:type="dxa" w:w="2880"/>
          </w:tcPr>
          <w:p>
            <w:r>
              <w:t>JD-IVL-001</w:t>
            </w:r>
          </w:p>
        </w:tc>
        <w:tc>
          <w:tcPr>
            <w:tcW w:type="dxa" w:w="2880"/>
          </w:tcPr>
          <w:p>
            <w:r>
              <w:t>Engineering quality</w:t>
            </w:r>
          </w:p>
        </w:tc>
      </w:tr>
    </w:tbl>
    <w:p>
      <w:pPr>
        <w:pStyle w:val="Heading1"/>
      </w:pPr>
      <w:r>
        <w:t>Chapter 3 – Publication Numbering</w:t>
      </w:r>
    </w:p>
    <w:p>
      <w:r>
        <w:t>Identifiers use the format JD-&lt;Domain&gt;-&lt;Sequence&gt;. Numbers are permanent and shall not be reused.</w:t>
      </w:r>
    </w:p>
    <w:p>
      <w:pPr>
        <w:pStyle w:val="Heading1"/>
      </w:pPr>
      <w:r>
        <w:t>Chapter 4 – Publication Ownership</w:t>
      </w:r>
    </w:p>
    <w:p>
      <w:r>
        <w:t>Each publication has a designated engineering owner responsible for technical accuracy, approval, revision control and cross-publication consistency.</w:t>
      </w:r>
    </w:p>
    <w:p>
      <w:pPr>
        <w:pStyle w:val="Heading1"/>
      </w:pPr>
      <w:r>
        <w:t>Chapter 5 – Publication Lifecycle</w:t>
      </w:r>
    </w:p>
    <w:p>
      <w:r>
        <w:t>Draft → Engineering Review → Controlled Issue → Revision → Supersession → Archive. All changes require revision history and amendment records.</w:t>
      </w:r>
    </w:p>
    <w:p>
      <w:pPr>
        <w:pStyle w:val="Heading1"/>
      </w:pPr>
      <w:r>
        <w:t>Chapter 6 – Configuration Control</w:t>
      </w:r>
    </w:p>
    <w:p>
      <w:r>
        <w:t>Controlled publications are configuration-managed assets aligned with engineering baselines and recovery tags. Uncontrolled copies are informational only.</w:t>
      </w:r>
    </w:p>
    <w:p>
      <w:pPr>
        <w:pStyle w:val="Heading1"/>
      </w:pPr>
      <w:r>
        <w:t>Appendix A – Engineering Library Hierarchy</w:t>
      </w:r>
    </w:p>
    <w:p>
      <w:r>
        <w:t>JD-EL-001 → JD-EDS-001 → JD-EOM-001 → JD-ADR-001 → JD-ERP-001 → JD-IVL-001</w:t>
      </w:r>
    </w:p>
    <w:p>
      <w:pPr>
        <w:pStyle w:val="Heading1"/>
      </w:pPr>
      <w:r>
        <w:t>Glossary</w:t>
      </w:r>
    </w:p>
    <w:p>
      <w:r>
        <w:t>Controlled Publication: An approved engineering document under configuration control.</w:t>
        <w:br/>
        <w:t>Engineering Baseline: Approved reference state.</w:t>
      </w:r>
    </w:p>
    <w:p>
      <w:pPr>
        <w:pStyle w:val="Heading1"/>
      </w:pPr>
      <w:r>
        <w:t>Acronyms</w:t>
      </w:r>
    </w:p>
    <w:p>
      <w:r>
        <w:t>ADR – Architecture</w:t>
        <w:br/>
        <w:t>EDS – Engineering Documentation Standard</w:t>
        <w:br/>
        <w:t>EOM – Engineering Operations Manual</w:t>
        <w:br/>
        <w:t>ERP – Engineering Recovery Procedures</w:t>
        <w:br/>
        <w:t>IVL – Inspection, Validation and Acceptance</w:t>
      </w:r>
    </w:p>
    <w:p>
      <w:pPr>
        <w:pStyle w:val="Heading1"/>
      </w:pPr>
      <w:r>
        <w:t>References</w:t>
      </w:r>
    </w:p>
    <w:p>
      <w:r>
        <w:t>JustDefenders Engineering Governance; Engineering Recovery Programme; Operational Registry architecture.</w:t>
      </w:r>
    </w:p>
    <w:p>
      <w:pPr>
        <w:pStyle w:val="Heading1"/>
      </w:pPr>
      <w:r>
        <w:t>Index</w:t>
      </w:r>
    </w:p>
    <w:p>
      <w:r>
        <w:t>Engineering Library; Governance; Configuration Control; Publication Register;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