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JUSTDEFENDERS® PROGRAMME MANAGEMENT SYSTEM</w:t>
      </w:r>
    </w:p>
    <w:p>
      <w:pPr>
        <w:pStyle w:val="Heading2"/>
      </w:pPr>
      <w:r>
        <w:t>PCH-001 Programme Charter</w:t>
      </w:r>
    </w:p>
    <w:p>
      <w:r>
        <w:t>Defines the programme mission, objectives, governance and success criteria.</w:t>
      </w:r>
    </w:p>
    <w:p>
      <w:pPr>
        <w:pStyle w:val="Heading2"/>
      </w:pPr>
      <w:r>
        <w:t>Engineering Control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CONTROLLED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FOUNDATION_ENGINEERING_WORKFLOW_v1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ProgrammeManagement\00 Programme Office\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Programme Office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02 August 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