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JUSTDEFENDERS® PROGRAMME MANAGEMENT SYSTEM</w:t>
      </w:r>
    </w:p>
    <w:p>
      <w:pPr>
        <w:pStyle w:val="Heading2"/>
      </w:pPr>
      <w:r>
        <w:t>POL-001 Engineering Policies</w:t>
      </w:r>
    </w:p>
    <w:p>
      <w:r>
        <w:t>Defines the engineering policies governing the JustDefenders Programme.</w:t>
      </w:r>
    </w:p>
    <w:p>
      <w:pPr>
        <w:pStyle w:val="Heading2"/>
      </w:pPr>
      <w:r>
        <w:t>Engineering Control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CONTROLLED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FOUNDATION_ENGINEERING_WORKFLOW_v1</w:t>
            </w:r>
          </w:p>
        </w:tc>
      </w:tr>
      <w:tr>
        <w:tc>
          <w:tcPr>
            <w:tcW w:type="dxa" w:w="4320"/>
          </w:tcPr>
          <w:p>
            <w:r>
              <w:t>Repository Path</w:t>
            </w:r>
          </w:p>
        </w:tc>
        <w:tc>
          <w:tcPr>
            <w:tcW w:type="dxa" w:w="4320"/>
          </w:tcPr>
          <w:p>
            <w:r>
              <w:t>ProgrammeManagement\00 Programme Office\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Programme Office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02 August 2026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