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графики фирм для двух случаев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4641156" cy="4280006"/>
            <wp:effectExtent b="0" l="0" r="0" t="0"/>
            <wp:docPr descr="Figure 1: 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428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лабораторной работы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импортируем библиотеки для построения кода и вводим наши переменные: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FirstParagraph"/>
      </w:pPr>
      <w:r>
        <w:t xml:space="preserve">Теперь мы создаем список значений t, которое мы будем использовать чтобы вычислять поточечно значения: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</w:p>
    <w:p>
      <w:pPr>
        <w:pStyle w:val="FirstParagraph"/>
      </w:pPr>
      <w:r>
        <w:t xml:space="preserve"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>
      <w:pPr>
        <w:pStyle w:val="BodyText"/>
      </w:pPr>
      <w:r>
        <w:t xml:space="preserve">Теперь создаем систему уравнений: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((a1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</w:t>
      </w:r>
    </w:p>
    <w:p>
      <w:pPr>
        <w:pStyle w:val="FirstParagraph"/>
      </w:pPr>
      <w:r>
        <w:t xml:space="preserve">Запускаем команду odeint, которая найдет значения поточечно.</w:t>
      </w:r>
    </w:p>
    <w:p>
      <w:pPr>
        <w:pStyle w:val="SourceCode"/>
      </w:pP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v0, t)</w:t>
      </w:r>
    </w:p>
    <w:p>
      <w:pPr>
        <w:pStyle w:val="FirstParagraph"/>
      </w:pPr>
      <w:r>
        <w:t xml:space="preserve">Теперь создаем график и выводим на экран.</w:t>
      </w:r>
      <w:r>
        <w:t xml:space="preserve"> </w:t>
      </w:r>
      <w:r>
        <w:t xml:space="preserve">график будет красного цвета с обозначением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Размер графика 10 на 10 единиц.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</w:t>
      </w:r>
    </w:p>
    <w:p>
      <w:pPr>
        <w:pStyle w:val="CaptionedFigure"/>
      </w:pPr>
      <w:bookmarkStart w:id="25" w:name="fig:002"/>
      <w:r>
        <w:drawing>
          <wp:inline>
            <wp:extent cx="5334000" cy="3288513"/>
            <wp:effectExtent b="0" l="0" r="0" t="0"/>
            <wp:docPr descr="Figure 2: Случай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Случай 1</w:t>
      </w:r>
    </w:p>
    <w:p>
      <w:pPr>
        <w:pStyle w:val="CaptionedFigure"/>
      </w:pPr>
      <w:bookmarkStart w:id="27" w:name="fig:003"/>
      <w:r>
        <w:drawing>
          <wp:inline>
            <wp:extent cx="5334000" cy="3362226"/>
            <wp:effectExtent b="0" l="0" r="0" t="0"/>
            <wp:docPr descr="Figure 3: Случай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Случай 2</w:t>
      </w:r>
    </w:p>
    <w:p>
      <w:pPr>
        <w:pStyle w:val="BodyText"/>
      </w:pPr>
      <w:r>
        <w:t xml:space="preserve">Код на Python для графика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dx1,dx2</w:t>
      </w:r>
      <w:r>
        <w:br/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x0, t)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((a1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</w:t>
      </w:r>
      <w:r>
        <w:br/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v0, t)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yf)</w:t>
      </w:r>
      <w:r>
        <w:br/>
      </w:r>
      <w:r>
        <w:rPr>
          <w:rStyle w:val="NormalTok"/>
        </w:rPr>
        <w:t xml:space="preserve">plt.show()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 вывода на экран графиков для 2 случаев.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Оразклычев Довлет</dc:creator>
  <dc:language>ru-RU</dc:language>
  <cp:keywords/>
  <dcterms:created xsi:type="dcterms:W3CDTF">2021-04-02T01:00:18Z</dcterms:created>
  <dcterms:modified xsi:type="dcterms:W3CDTF">2021-04-02T01:00:18Z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